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gif" ContentType="image/gif"/>
  <Override PartName="/word/media/image3.gif" ContentType="image/gif"/>
  <Override PartName="/word/media/image4.gif" ContentType="image/gif"/>
  <Override PartName="/word/media/image5.gif" ContentType="image/gif"/>
  <Override PartName="/word/media/image6.gif" ContentType="image/gif"/>
  <Override PartName="/word/media/image7.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24"/>
        </w:rPr>
      </w:pPr>
      <w:bookmarkStart w:id="0" w:name="ava-20260331.htm"/>
      <w:bookmarkStart w:id="1" w:name="ksava20260331"/>
      <w:bookmarkEnd w:id="0"/>
      <w:bookmarkEnd w:id="1"/>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Form 10-Q</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87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FOR THE QUARTERLY PERIOD ENDED March 31, 2026</w:t>
            </w:r>
            <w:r>
              <w:rPr>
                <w:rFonts w:ascii="Times New Roman" w:hAnsi="Times New Roman"/>
                <w:color w:val="000000"/>
                <w:sz w:val="20"/>
              </w:rPr>
              <w:t> </w:t>
            </w:r>
            <w:r>
              <w:rPr>
                <w:rFonts w:ascii="Times New Roman" w:hAnsi="Times New Roman"/>
                <w:b/>
                <w:color w:val="000000"/>
                <w:sz w:val="20"/>
              </w:rPr>
              <w:t>OR</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87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FOR THE TRANSITION PERIOD FROM TO</w:t>
            </w:r>
          </w:p>
        </w:tc>
      </w:tr>
    </w:tbl>
    <w:p>
      <w:pPr>
        <w:pStyle w:val="TextBody"/>
        <w:bidi w:val="0"/>
        <w:jc w:val="left"/>
        <w:rPr/>
      </w:pPr>
      <w:r>
        <w:rPr/>
        <w:t> </w:t>
      </w:r>
    </w:p>
    <w:p>
      <w:pPr>
        <w:pStyle w:val="TextBody"/>
        <w:bidi w:val="0"/>
        <w:spacing w:before="60" w:after="283"/>
        <w:jc w:val="center"/>
        <w:rPr>
          <w:rFonts w:ascii="Times New Roman" w:hAnsi="Times New Roman"/>
          <w:sz w:val="20"/>
        </w:rPr>
      </w:pPr>
      <w:r>
        <w:rPr>
          <w:rFonts w:ascii="Times New Roman" w:hAnsi="Times New Roman"/>
          <w:b/>
          <w:color w:val="000000"/>
          <w:sz w:val="20"/>
        </w:rPr>
        <w:t xml:space="preserve">Commission file number </w:t>
      </w:r>
      <w:r>
        <w:rPr>
          <w:rFonts w:ascii="Times New Roman" w:hAnsi="Times New Roman"/>
          <w:b/>
          <w:color w:val="000000"/>
          <w:sz w:val="20"/>
          <w:u w:val="single"/>
        </w:rPr>
        <w:t>1-3701</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spacing w:before="40" w:after="283"/>
        <w:jc w:val="center"/>
        <w:rPr>
          <w:rFonts w:ascii="Times New Roman" w:hAnsi="Times New Roman"/>
          <w:b/>
          <w:color w:val="000000"/>
          <w:sz w:val="32"/>
        </w:rPr>
      </w:pPr>
      <w:r>
        <w:rPr>
          <w:rFonts w:ascii="Times New Roman" w:hAnsi="Times New Roman"/>
          <w:b/>
          <w:color w:val="000000"/>
          <w:sz w:val="32"/>
        </w:rPr>
        <w:t>AVISTA CORPORATION</w:t>
      </w:r>
    </w:p>
    <w:p>
      <w:pPr>
        <w:pStyle w:val="TextBody"/>
        <w:pBdr>
          <w:top w:val="single" w:sz="4" w:space="1" w:color="000000"/>
        </w:pBdr>
        <w:bidi w:val="0"/>
        <w:spacing w:before="40" w:after="283"/>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jc w:val="left"/>
        <w:rPr/>
      </w:pPr>
      <w:r>
        <w:rPr/>
        <w:t> </w:t>
      </w:r>
    </w:p>
    <w:tbl>
      <w:tblPr>
        <w:tblW w:w="4573" w:type="dxa"/>
        <w:jc w:val="left"/>
        <w:tblInd w:w="0" w:type="dxa"/>
        <w:tblLayout w:type="fixed"/>
        <w:tblCellMar>
          <w:top w:w="28" w:type="dxa"/>
          <w:left w:w="28" w:type="dxa"/>
          <w:bottom w:w="28" w:type="dxa"/>
          <w:right w:w="28" w:type="dxa"/>
        </w:tblCellMar>
      </w:tblPr>
      <w:tblGrid>
        <w:gridCol w:w="2746"/>
        <w:gridCol w:w="146"/>
        <w:gridCol w:w="168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74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Washington</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91-0462470</w:t>
            </w:r>
          </w:p>
        </w:tc>
      </w:tr>
      <w:tr>
        <w:trPr/>
        <w:tc>
          <w:tcPr>
            <w:tcW w:w="274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(State or other jurisdiction of</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incorporation or organization)</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(I.R.S. Employer</w:t>
              <w:br/>
              <w:t>Identification No.)</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1411 East Mission Avenue, Spokane, Washington</w:t>
      </w:r>
      <w:r>
        <w:rPr>
          <w:rFonts w:ascii="Times New Roman" w:hAnsi="Times New Roman"/>
          <w:color w:val="000000"/>
          <w:sz w:val="20"/>
        </w:rPr>
        <w:t xml:space="preserve"> </w:t>
      </w:r>
      <w:r>
        <w:rPr>
          <w:rFonts w:ascii="Times New Roman" w:hAnsi="Times New Roman"/>
          <w:b/>
          <w:color w:val="000000"/>
          <w:sz w:val="20"/>
        </w:rPr>
        <w:t>99202-2600</w:t>
      </w:r>
    </w:p>
    <w:p>
      <w:pPr>
        <w:pStyle w:val="TextBody"/>
        <w:bidi w:val="0"/>
        <w:jc w:val="center"/>
        <w:rPr>
          <w:rFonts w:ascii="Times New Roman" w:hAnsi="Times New Roman"/>
          <w:b/>
          <w:color w:val="000000"/>
          <w:sz w:val="20"/>
        </w:rPr>
      </w:pPr>
      <w:r>
        <w:rPr>
          <w:rFonts w:ascii="Times New Roman" w:hAnsi="Times New Roman"/>
          <w:b/>
          <w:color w:val="000000"/>
          <w:sz w:val="20"/>
        </w:rPr>
        <w:t>(Address of principal executive offices, including zip code)</w:t>
      </w:r>
    </w:p>
    <w:p>
      <w:pPr>
        <w:pStyle w:val="TextBody"/>
        <w:bidi w:val="0"/>
        <w:spacing w:before="80" w:after="283"/>
        <w:jc w:val="center"/>
        <w:rPr>
          <w:rFonts w:ascii="Times New Roman" w:hAnsi="Times New Roman"/>
          <w:sz w:val="20"/>
        </w:rPr>
      </w:pPr>
      <w:r>
        <w:rPr>
          <w:rFonts w:ascii="Times New Roman" w:hAnsi="Times New Roman"/>
          <w:b/>
          <w:color w:val="000000"/>
          <w:sz w:val="20"/>
        </w:rPr>
        <w:t xml:space="preserve">Registrant’s telephone number, including area code: </w:t>
      </w:r>
      <w:r>
        <w:rPr>
          <w:rFonts w:ascii="Times New Roman" w:hAnsi="Times New Roman"/>
          <w:b/>
          <w:color w:val="000000"/>
          <w:sz w:val="20"/>
          <w:u w:val="single"/>
        </w:rPr>
        <w:t>509-489-0500</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None</w:t>
      </w:r>
    </w:p>
    <w:p>
      <w:pPr>
        <w:pStyle w:val="TextBody"/>
        <w:pBdr>
          <w:top w:val="single" w:sz="4" w:space="1" w:color="000000"/>
        </w:pBdr>
        <w:bidi w:val="0"/>
        <w:spacing w:before="40" w:after="283"/>
        <w:jc w:val="center"/>
        <w:rPr>
          <w:rFonts w:ascii="Times New Roman" w:hAnsi="Times New Roman"/>
          <w:b/>
          <w:color w:val="000000"/>
          <w:sz w:val="20"/>
        </w:rPr>
      </w:pPr>
      <w:r>
        <w:rPr>
          <w:rFonts w:ascii="Times New Roman" w:hAnsi="Times New Roman"/>
          <w:b/>
          <w:color w:val="000000"/>
          <w:sz w:val="20"/>
        </w:rPr>
        <w:t>(Former name, former address and former fiscal year, if changed since last report)</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center"/>
        <w:rPr/>
      </w:pPr>
      <w:r>
        <w:rPr/>
        <w:t> </w:t>
      </w:r>
    </w:p>
    <w:tbl>
      <w:tblPr>
        <w:tblW w:w="7720" w:type="dxa"/>
        <w:jc w:val="left"/>
        <w:tblInd w:w="0" w:type="dxa"/>
        <w:tblLayout w:type="fixed"/>
        <w:tblCellMar>
          <w:top w:w="28" w:type="dxa"/>
          <w:left w:w="28" w:type="dxa"/>
          <w:bottom w:w="28" w:type="dxa"/>
          <w:right w:w="28" w:type="dxa"/>
        </w:tblCellMar>
      </w:tblPr>
      <w:tblGrid>
        <w:gridCol w:w="1711"/>
        <w:gridCol w:w="146"/>
        <w:gridCol w:w="1696"/>
        <w:gridCol w:w="146"/>
        <w:gridCol w:w="402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1" w:type="dxa"/>
            <w:tcBorders/>
            <w:vAlign w:val="center"/>
          </w:tcPr>
          <w:p>
            <w:pPr>
              <w:pStyle w:val="TableContents"/>
              <w:bidi w:val="0"/>
              <w:spacing w:before="0" w:after="283"/>
              <w:jc w:val="left"/>
              <w:rPr>
                <w:sz w:val="4"/>
                <w:szCs w:val="4"/>
              </w:rPr>
            </w:pPr>
            <w:r>
              <w:rPr>
                <w:sz w:val="4"/>
                <w:szCs w:val="4"/>
              </w:rPr>
            </w:r>
          </w:p>
        </w:tc>
      </w:tr>
      <w:tr>
        <w:trPr/>
        <w:tc>
          <w:tcPr>
            <w:tcW w:w="17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0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1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AVA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314" w:type="dxa"/>
        <w:jc w:val="left"/>
        <w:tblInd w:w="0" w:type="dxa"/>
        <w:tblLayout w:type="fixed"/>
        <w:tblCellMar>
          <w:top w:w="28" w:type="dxa"/>
          <w:left w:w="28" w:type="dxa"/>
          <w:bottom w:w="28" w:type="dxa"/>
          <w:right w:w="28" w:type="dxa"/>
        </w:tblCellMar>
      </w:tblPr>
      <w:tblGrid>
        <w:gridCol w:w="2326"/>
        <w:gridCol w:w="316"/>
        <w:gridCol w:w="2311"/>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April 30, 2026, 82,638,430 shares of Registrant’s Common Stock, no par value (the only class of common stock), were outstanding.</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AVISTA CORPORATION</w:t>
      </w:r>
    </w:p>
    <w:p>
      <w:pPr>
        <w:pStyle w:val="TextBody"/>
        <w:bidi w:val="0"/>
        <w:spacing w:before="0" w:after="140"/>
        <w:jc w:val="center"/>
        <w:rPr>
          <w:rFonts w:ascii="Times New Roman" w:hAnsi="Times New Roman"/>
          <w:color w:val="000000"/>
          <w:sz w:val="20"/>
          <w:u w:val="single"/>
        </w:rPr>
      </w:pPr>
      <w:bookmarkStart w:id="2" w:name="index"/>
      <w:bookmarkEnd w:id="2"/>
      <w:r>
        <w:rPr>
          <w:rFonts w:ascii="Times New Roman" w:hAnsi="Times New Roman"/>
          <w:color w:val="000000"/>
          <w:sz w:val="20"/>
          <w:u w:val="single"/>
        </w:rPr>
        <w:t>INDEX</w:t>
      </w:r>
    </w:p>
    <w:tbl>
      <w:tblPr>
        <w:tblW w:w="9029" w:type="dxa"/>
        <w:jc w:val="left"/>
        <w:tblInd w:w="0" w:type="dxa"/>
        <w:tblLayout w:type="fixed"/>
        <w:tblCellMar>
          <w:top w:w="28" w:type="dxa"/>
          <w:left w:w="28" w:type="dxa"/>
          <w:bottom w:w="28" w:type="dxa"/>
          <w:right w:w="28" w:type="dxa"/>
        </w:tblCellMar>
      </w:tblPr>
      <w:tblGrid>
        <w:gridCol w:w="736"/>
        <w:gridCol w:w="7366"/>
        <w:gridCol w:w="146"/>
        <w:gridCol w:w="781"/>
      </w:tblGrid>
      <w:tr>
        <w:trPr/>
        <w:tc>
          <w:tcPr>
            <w:tcW w:w="73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73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Item No.</w:t>
            </w:r>
          </w:p>
        </w:tc>
        <w:tc>
          <w:tcPr>
            <w:tcW w:w="736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Page No.</w:t>
            </w:r>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acronyms_terms">
              <w:r>
                <w:rPr>
                  <w:rStyle w:val="InternetLink"/>
                  <w:rFonts w:ascii="Times New Roman" w:hAnsi="Times New Roman"/>
                  <w:color w:val="0563C1"/>
                  <w:sz w:val="20"/>
                  <w:u w:val="single"/>
                </w:rPr>
                <w:t>Acronyms and Terms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iii</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forwardlooking_statements">
              <w:r>
                <w:rPr>
                  <w:rStyle w:val="InternetLink"/>
                  <w:rFonts w:ascii="Times New Roman" w:hAnsi="Times New Roman"/>
                  <w:color w:val="0563C1"/>
                  <w:sz w:val="20"/>
                  <w:u w:val="single"/>
                </w:rPr>
                <w:t>Forward-Looking Statements</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1</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available_information">
              <w:r>
                <w:rPr>
                  <w:rStyle w:val="InternetLink"/>
                  <w:rFonts w:ascii="Times New Roman" w:hAnsi="Times New Roman"/>
                  <w:color w:val="0563C1"/>
                  <w:sz w:val="20"/>
                  <w:u w:val="single"/>
                </w:rPr>
                <w:t>Available Information</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6</w:t>
            </w:r>
          </w:p>
        </w:tc>
      </w:tr>
      <w:tr>
        <w:trPr/>
        <w:tc>
          <w:tcPr>
            <w:tcW w:w="8102" w:type="dxa"/>
            <w:gridSpan w:val="2"/>
            <w:tcBorders/>
            <w:tcMar>
              <w:top w:w="0" w:type="dxa"/>
              <w:left w:w="0" w:type="dxa"/>
              <w:bottom w:w="0" w:type="dxa"/>
              <w:right w:w="0" w:type="dxa"/>
            </w:tcMar>
            <w:vAlign w:val="center"/>
          </w:tcPr>
          <w:p>
            <w:pPr>
              <w:pStyle w:val="TableContents"/>
              <w:bidi w:val="0"/>
              <w:spacing w:before="40" w:after="40"/>
              <w:jc w:val="left"/>
              <w:rPr/>
            </w:pPr>
            <w:hyperlink w:anchor="part_i_financial_information">
              <w:r>
                <w:rPr>
                  <w:rStyle w:val="InternetLink"/>
                  <w:rFonts w:ascii="Times New Roman" w:hAnsi="Times New Roman"/>
                  <w:color w:val="0563C1"/>
                  <w:sz w:val="20"/>
                  <w:u w:val="single"/>
                </w:rPr>
                <w:t>Part I. Financial Information</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pPr>
            <w:r>
              <w:rPr/>
              <w:t> </w:t>
            </w:r>
          </w:p>
        </w:tc>
      </w:tr>
      <w:tr>
        <w:trPr/>
        <w:tc>
          <w:tcPr>
            <w:tcW w:w="73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1.</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item_1_condensed_consolidated_financial_">
              <w:r>
                <w:rPr>
                  <w:rStyle w:val="InternetLink"/>
                  <w:rFonts w:ascii="Times New Roman" w:hAnsi="Times New Roman"/>
                  <w:color w:val="0563C1"/>
                  <w:sz w:val="20"/>
                  <w:u w:val="single"/>
                </w:rPr>
                <w:t>Condensed Consolidated Financial Statements (unaudited)</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7</w:t>
            </w:r>
          </w:p>
        </w:tc>
      </w:tr>
      <w:tr>
        <w:trPr/>
        <w:tc>
          <w:tcPr>
            <w:tcW w:w="736" w:type="dxa"/>
            <w:tcBorders/>
            <w:tcMar>
              <w:top w:w="0" w:type="dxa"/>
              <w:left w:w="0" w:type="dxa"/>
              <w:bottom w:w="0" w:type="dxa"/>
              <w:right w:w="0" w:type="dxa"/>
            </w:tcMar>
            <w:vAlign w:val="center"/>
          </w:tcPr>
          <w:p>
            <w:pPr>
              <w:pStyle w:val="TableContents"/>
              <w:bidi w:val="0"/>
              <w:spacing w:before="40" w:after="40"/>
              <w:ind w:left="0" w:right="0" w:firstLine="36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ind w:left="0" w:right="0" w:firstLine="360"/>
              <w:jc w:val="left"/>
              <w:rPr/>
            </w:pPr>
            <w:hyperlink w:anchor="condensed_consolidated_statements_income">
              <w:r>
                <w:rPr>
                  <w:rStyle w:val="InternetLink"/>
                  <w:rFonts w:ascii="Times New Roman" w:hAnsi="Times New Roman"/>
                  <w:color w:val="0563C1"/>
                  <w:sz w:val="20"/>
                  <w:u w:val="single"/>
                </w:rPr>
                <w:t>Condensed Consolidated Statements of Income and Comprehensive Income -</w:t>
                <w:br/>
                <w:t>Three Months Ended March 31, 2026 and 2025</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7</w:t>
            </w:r>
          </w:p>
        </w:tc>
      </w:tr>
      <w:tr>
        <w:trPr/>
        <w:tc>
          <w:tcPr>
            <w:tcW w:w="736" w:type="dxa"/>
            <w:tcBorders/>
            <w:tcMar>
              <w:top w:w="0" w:type="dxa"/>
              <w:left w:w="0" w:type="dxa"/>
              <w:bottom w:w="0" w:type="dxa"/>
              <w:right w:w="0" w:type="dxa"/>
            </w:tcMar>
            <w:vAlign w:val="center"/>
          </w:tcPr>
          <w:p>
            <w:pPr>
              <w:pStyle w:val="TableContents"/>
              <w:bidi w:val="0"/>
              <w:spacing w:before="40" w:after="40"/>
              <w:ind w:left="0" w:right="0" w:firstLine="36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ind w:left="0" w:right="0" w:firstLine="360"/>
              <w:jc w:val="left"/>
              <w:rPr/>
            </w:pPr>
            <w:hyperlink w:anchor="condensed_consolidated_balance_sheets">
              <w:r>
                <w:rPr>
                  <w:rStyle w:val="InternetLink"/>
                  <w:rFonts w:ascii="Times New Roman" w:hAnsi="Times New Roman"/>
                  <w:color w:val="0563C1"/>
                  <w:sz w:val="20"/>
                  <w:u w:val="single"/>
                </w:rPr>
                <w:t>Condensed Consolidated Balance Sheets -</w:t>
                <w:br/>
                <w:t>March 31, 2026 and December 31, 2025</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8</w:t>
            </w:r>
          </w:p>
        </w:tc>
      </w:tr>
      <w:tr>
        <w:trPr/>
        <w:tc>
          <w:tcPr>
            <w:tcW w:w="736" w:type="dxa"/>
            <w:tcBorders/>
            <w:tcMar>
              <w:top w:w="0" w:type="dxa"/>
              <w:left w:w="0" w:type="dxa"/>
              <w:bottom w:w="0" w:type="dxa"/>
              <w:right w:w="0" w:type="dxa"/>
            </w:tcMar>
            <w:vAlign w:val="center"/>
          </w:tcPr>
          <w:p>
            <w:pPr>
              <w:pStyle w:val="TableContents"/>
              <w:bidi w:val="0"/>
              <w:spacing w:before="40" w:after="40"/>
              <w:ind w:left="0" w:right="0" w:firstLine="36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ind w:left="0" w:right="0" w:firstLine="360"/>
              <w:jc w:val="left"/>
              <w:rPr/>
            </w:pPr>
            <w:hyperlink w:anchor="condensed_consolidated_statements_cash_f">
              <w:r>
                <w:rPr>
                  <w:rStyle w:val="InternetLink"/>
                  <w:rFonts w:ascii="Times New Roman" w:hAnsi="Times New Roman"/>
                  <w:color w:val="0563C1"/>
                  <w:sz w:val="20"/>
                  <w:u w:val="single"/>
                </w:rPr>
                <w:t>Condensed Consolidated Statements of Cash Flows -</w:t>
                <w:br/>
                <w:t>Three Months Ended March 31, 2026 and 2025</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9</w:t>
            </w:r>
          </w:p>
        </w:tc>
      </w:tr>
      <w:tr>
        <w:trPr/>
        <w:tc>
          <w:tcPr>
            <w:tcW w:w="736" w:type="dxa"/>
            <w:tcBorders/>
            <w:tcMar>
              <w:top w:w="0" w:type="dxa"/>
              <w:left w:w="0" w:type="dxa"/>
              <w:bottom w:w="0" w:type="dxa"/>
              <w:right w:w="0" w:type="dxa"/>
            </w:tcMar>
            <w:vAlign w:val="center"/>
          </w:tcPr>
          <w:p>
            <w:pPr>
              <w:pStyle w:val="TableContents"/>
              <w:bidi w:val="0"/>
              <w:spacing w:before="40" w:after="40"/>
              <w:ind w:left="0" w:right="0" w:firstLine="36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ind w:left="0" w:right="0" w:firstLine="360"/>
              <w:jc w:val="left"/>
              <w:rPr/>
            </w:pPr>
            <w:hyperlink w:anchor="condensed_consolidated_statements_equity">
              <w:r>
                <w:rPr>
                  <w:rStyle w:val="InternetLink"/>
                  <w:rFonts w:ascii="Times New Roman" w:hAnsi="Times New Roman"/>
                  <w:color w:val="0563C1"/>
                  <w:sz w:val="20"/>
                  <w:u w:val="single"/>
                </w:rPr>
                <w:t>Condensed Consolidated Statements of Equity -</w:t>
                <w:br/>
                <w:t>Three Months Ended March 31, 2026 and 2025</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11</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notes_to_condensed_consolidated_financia">
              <w:r>
                <w:rPr>
                  <w:rStyle w:val="InternetLink"/>
                  <w:rFonts w:ascii="Times New Roman" w:hAnsi="Times New Roman"/>
                  <w:color w:val="0563C1"/>
                  <w:sz w:val="20"/>
                  <w:u w:val="single"/>
                </w:rPr>
                <w:t>Notes to Condensed Consolidated Financial Statements (unaudited)</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12</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note_1_summary_significant_accounting_po">
              <w:r>
                <w:rPr>
                  <w:rStyle w:val="InternetLink"/>
                  <w:rFonts w:ascii="Times New Roman" w:hAnsi="Times New Roman"/>
                  <w:color w:val="0563C1"/>
                  <w:sz w:val="20"/>
                  <w:u w:val="single"/>
                </w:rPr>
                <w:t>Note 1. Summary of Significant Accounting Policies</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12</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note_2_new_accounting_stards">
              <w:r>
                <w:rPr>
                  <w:rStyle w:val="InternetLink"/>
                  <w:rFonts w:ascii="Times New Roman" w:hAnsi="Times New Roman"/>
                  <w:color w:val="0563C1"/>
                  <w:sz w:val="20"/>
                  <w:u w:val="single"/>
                </w:rPr>
                <w:t>Note 2. New Accounting Standards</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13</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note_3_balance_sheet_components">
              <w:r>
                <w:rPr>
                  <w:rStyle w:val="InternetLink"/>
                  <w:rFonts w:ascii="Times New Roman" w:hAnsi="Times New Roman"/>
                  <w:color w:val="0563C1"/>
                  <w:sz w:val="20"/>
                  <w:u w:val="single"/>
                </w:rPr>
                <w:t>Note 3. Balance Sheet Components</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14</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note_4_revenue">
              <w:r>
                <w:rPr>
                  <w:rStyle w:val="InternetLink"/>
                  <w:rFonts w:ascii="Times New Roman" w:hAnsi="Times New Roman"/>
                  <w:color w:val="0563C1"/>
                  <w:sz w:val="20"/>
                  <w:u w:val="single"/>
                </w:rPr>
                <w:t>Note 4. Revenue</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17</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note_5_derivatives_risk_management">
              <w:r>
                <w:rPr>
                  <w:rStyle w:val="InternetLink"/>
                  <w:rFonts w:ascii="Times New Roman" w:hAnsi="Times New Roman"/>
                  <w:color w:val="0563C1"/>
                  <w:sz w:val="20"/>
                  <w:u w:val="single"/>
                </w:rPr>
                <w:t>Note 5. Derivatives and Risk Management</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18</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note_6_pension_plans_or_postretirement_b">
              <w:r>
                <w:rPr>
                  <w:rStyle w:val="InternetLink"/>
                  <w:rFonts w:ascii="Times New Roman" w:hAnsi="Times New Roman"/>
                  <w:color w:val="0563C1"/>
                  <w:sz w:val="20"/>
                  <w:u w:val="single"/>
                </w:rPr>
                <w:t>Note 6. Pension Plans and Other Postretirement Benefit Plans</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21</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note_7_income_taxes">
              <w:r>
                <w:rPr>
                  <w:rStyle w:val="InternetLink"/>
                  <w:rFonts w:ascii="Times New Roman" w:hAnsi="Times New Roman"/>
                  <w:color w:val="0563C1"/>
                  <w:sz w:val="20"/>
                  <w:u w:val="single"/>
                </w:rPr>
                <w:t>Note 7. Income Taxes</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21</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note_8_committed_lines_credit">
              <w:r>
                <w:rPr>
                  <w:rStyle w:val="InternetLink"/>
                  <w:rFonts w:ascii="Times New Roman" w:hAnsi="Times New Roman"/>
                  <w:color w:val="0563C1"/>
                  <w:sz w:val="20"/>
                  <w:u w:val="single"/>
                </w:rPr>
                <w:t>Note 8. Short-Term Borrowings</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22</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note_10_longterm_debt_to_affiliated_trus">
              <w:r>
                <w:rPr>
                  <w:rStyle w:val="InternetLink"/>
                  <w:rFonts w:ascii="Times New Roman" w:hAnsi="Times New Roman"/>
                  <w:color w:val="0563C1"/>
                  <w:sz w:val="20"/>
                  <w:u w:val="single"/>
                </w:rPr>
                <w:t>Note 9. Long-Term Debt to Affiliated Trusts</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23</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note_11_fair_value">
              <w:r>
                <w:rPr>
                  <w:rStyle w:val="InternetLink"/>
                  <w:rFonts w:ascii="Times New Roman" w:hAnsi="Times New Roman"/>
                  <w:color w:val="0563C1"/>
                  <w:sz w:val="20"/>
                  <w:u w:val="single"/>
                </w:rPr>
                <w:t>Note 10. Fair Value</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23</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note_11_fair_value">
              <w:r>
                <w:rPr>
                  <w:rStyle w:val="InternetLink"/>
                  <w:rFonts w:ascii="Times New Roman" w:hAnsi="Times New Roman"/>
                  <w:color w:val="0563C1"/>
                  <w:sz w:val="20"/>
                  <w:u w:val="single"/>
                </w:rPr>
                <w:t>Note 11. Common Stock</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27</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note_14_earnings_per_common_share_attrib">
              <w:r>
                <w:rPr>
                  <w:rStyle w:val="InternetLink"/>
                  <w:rFonts w:ascii="Times New Roman" w:hAnsi="Times New Roman"/>
                  <w:color w:val="0563C1"/>
                  <w:sz w:val="20"/>
                  <w:u w:val="single"/>
                </w:rPr>
                <w:t>Note 12. Earnings per Common Share</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28</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note_15_commitments_contingencies">
              <w:r>
                <w:rPr>
                  <w:rStyle w:val="InternetLink"/>
                  <w:rFonts w:ascii="Times New Roman" w:hAnsi="Times New Roman"/>
                  <w:color w:val="0563C1"/>
                  <w:sz w:val="20"/>
                  <w:u w:val="single"/>
                </w:rPr>
                <w:t>Note 13. Commitments and Contingencies</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28</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note_16_information_by_business_segments">
              <w:r>
                <w:rPr>
                  <w:rStyle w:val="InternetLink"/>
                  <w:rFonts w:ascii="Times New Roman" w:hAnsi="Times New Roman"/>
                  <w:color w:val="0563C1"/>
                  <w:sz w:val="20"/>
                  <w:u w:val="single"/>
                </w:rPr>
                <w:t>Note 14. Information by Business Segments</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29</w:t>
            </w:r>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report_independent_registered_public_acc">
              <w:r>
                <w:rPr>
                  <w:rStyle w:val="InternetLink"/>
                  <w:rFonts w:ascii="Times New Roman" w:hAnsi="Times New Roman"/>
                  <w:color w:val="0563C1"/>
                  <w:sz w:val="20"/>
                  <w:u w:val="single"/>
                </w:rPr>
                <w:t>Report of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563C1"/>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business_segments">
              <w:r>
                <w:rPr>
                  <w:rStyle w:val="InternetLink"/>
                  <w:rFonts w:ascii="Times New Roman" w:hAnsi="Times New Roman"/>
                  <w:color w:val="0563C1"/>
                  <w:sz w:val="20"/>
                  <w:u w:val="single"/>
                </w:rPr>
                <w:t>Business Segments</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32</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executive_level_summary">
              <w:r>
                <w:rPr>
                  <w:rStyle w:val="InternetLink"/>
                  <w:rFonts w:ascii="Times New Roman" w:hAnsi="Times New Roman"/>
                  <w:color w:val="0563C1"/>
                  <w:sz w:val="20"/>
                  <w:u w:val="single"/>
                </w:rPr>
                <w:t>Executive Overview</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32</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regulatory_matters">
              <w:r>
                <w:rPr>
                  <w:rStyle w:val="InternetLink"/>
                  <w:rFonts w:ascii="Times New Roman" w:hAnsi="Times New Roman"/>
                  <w:color w:val="0563C1"/>
                  <w:sz w:val="20"/>
                  <w:u w:val="single"/>
                </w:rPr>
                <w:t>Regulatory Matters</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33</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results_of_operations_overall">
              <w:r>
                <w:rPr>
                  <w:rStyle w:val="InternetLink"/>
                  <w:rFonts w:ascii="Times New Roman" w:hAnsi="Times New Roman"/>
                  <w:color w:val="0563C1"/>
                  <w:sz w:val="20"/>
                  <w:u w:val="single"/>
                </w:rPr>
                <w:t>Results of Operations - Overall</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35</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nongaap_financial_measures">
              <w:r>
                <w:rPr>
                  <w:rStyle w:val="InternetLink"/>
                  <w:rFonts w:ascii="Times New Roman" w:hAnsi="Times New Roman"/>
                  <w:color w:val="0563C1"/>
                  <w:sz w:val="20"/>
                  <w:u w:val="single"/>
                </w:rPr>
                <w:t>Non-GAAP Financial Measures</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36</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results_operations_avista_utilities">
              <w:r>
                <w:rPr>
                  <w:rStyle w:val="InternetLink"/>
                  <w:rFonts w:ascii="Times New Roman" w:hAnsi="Times New Roman"/>
                  <w:color w:val="0563C1"/>
                  <w:sz w:val="20"/>
                  <w:u w:val="single"/>
                </w:rPr>
                <w:t>Results of Operations - Avista Utilities</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37</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results_operations_alaska_electric_light">
              <w:r>
                <w:rPr>
                  <w:rStyle w:val="InternetLink"/>
                  <w:rFonts w:ascii="Times New Roman" w:hAnsi="Times New Roman"/>
                  <w:color w:val="0563C1"/>
                  <w:sz w:val="20"/>
                  <w:u w:val="single"/>
                </w:rPr>
                <w:t>Results of Operations - Alaska Electric Light and Power Company</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44</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results_of_operations_other_businesses">
              <w:r>
                <w:rPr>
                  <w:rStyle w:val="InternetLink"/>
                  <w:rFonts w:ascii="Times New Roman" w:hAnsi="Times New Roman"/>
                  <w:color w:val="0563C1"/>
                  <w:sz w:val="20"/>
                  <w:u w:val="single"/>
                </w:rPr>
                <w:t>Results of Operations - Other Businesses</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44</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critical_accounting_policies">
              <w:r>
                <w:rPr>
                  <w:rStyle w:val="InternetLink"/>
                  <w:rFonts w:ascii="Times New Roman" w:hAnsi="Times New Roman"/>
                  <w:color w:val="0563C1"/>
                  <w:sz w:val="20"/>
                  <w:u w:val="single"/>
                </w:rPr>
                <w:t>Critical Accounting Policies and Estimates</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44</w:t>
            </w:r>
          </w:p>
        </w:tc>
      </w:tr>
      <w:tr>
        <w:trPr/>
        <w:tc>
          <w:tcPr>
            <w:tcW w:w="736" w:type="dxa"/>
            <w:tcBorders/>
            <w:tcMar>
              <w:top w:w="0" w:type="dxa"/>
              <w:left w:w="0" w:type="dxa"/>
              <w:bottom w:w="0" w:type="dxa"/>
              <w:right w:w="0" w:type="dxa"/>
            </w:tcMar>
            <w:vAlign w:val="center"/>
          </w:tcPr>
          <w:p>
            <w:pPr>
              <w:pStyle w:val="TableContents"/>
              <w:bidi w:val="0"/>
              <w:spacing w:before="40" w:after="40"/>
              <w:jc w:val="left"/>
              <w:rPr/>
            </w:pPr>
            <w:r>
              <w:rPr/>
              <w:t> </w:t>
            </w:r>
          </w:p>
        </w:tc>
        <w:tc>
          <w:tcPr>
            <w:tcW w:w="7366" w:type="dxa"/>
            <w:tcBorders/>
            <w:tcMar>
              <w:top w:w="0" w:type="dxa"/>
              <w:left w:w="0" w:type="dxa"/>
              <w:bottom w:w="0" w:type="dxa"/>
              <w:right w:w="0" w:type="dxa"/>
            </w:tcMar>
            <w:vAlign w:val="center"/>
          </w:tcPr>
          <w:p>
            <w:pPr>
              <w:pStyle w:val="TableContents"/>
              <w:bidi w:val="0"/>
              <w:spacing w:before="40" w:after="40"/>
              <w:jc w:val="left"/>
              <w:rPr/>
            </w:pPr>
            <w:hyperlink w:anchor="liquidity_and_capital_resources">
              <w:r>
                <w:rPr>
                  <w:rStyle w:val="InternetLink"/>
                  <w:rFonts w:ascii="Times New Roman" w:hAnsi="Times New Roman"/>
                  <w:color w:val="0563C1"/>
                  <w:sz w:val="20"/>
                  <w:u w:val="single"/>
                </w:rPr>
                <w:t>Liquidity and Capital Resources</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78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44</w:t>
            </w:r>
          </w:p>
        </w:tc>
      </w:tr>
    </w:tbl>
    <w:p>
      <w:pPr>
        <w:pStyle w:val="TextBody"/>
        <w:bidi w:val="0"/>
        <w:spacing w:before="20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tbl>
      <w:tblPr>
        <w:tblW w:w="6284" w:type="dxa"/>
        <w:jc w:val="left"/>
        <w:tblInd w:w="0" w:type="dxa"/>
        <w:tblLayout w:type="fixed"/>
        <w:tblCellMar>
          <w:top w:w="28" w:type="dxa"/>
          <w:left w:w="28" w:type="dxa"/>
          <w:bottom w:w="28" w:type="dxa"/>
          <w:right w:w="28" w:type="dxa"/>
        </w:tblCellMar>
      </w:tblPr>
      <w:tblGrid>
        <w:gridCol w:w="811"/>
        <w:gridCol w:w="4966"/>
        <w:gridCol w:w="146"/>
        <w:gridCol w:w="361"/>
      </w:tblGrid>
      <w:tr>
        <w:trPr/>
        <w:tc>
          <w:tcPr>
            <w:tcW w:w="811" w:type="dxa"/>
            <w:tcBorders/>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40" w:after="40"/>
              <w:jc w:val="left"/>
              <w:rPr/>
            </w:pPr>
            <w:r>
              <w:rPr/>
              <w:t> </w:t>
            </w:r>
          </w:p>
        </w:tc>
        <w:tc>
          <w:tcPr>
            <w:tcW w:w="4966" w:type="dxa"/>
            <w:tcBorders/>
            <w:tcMar>
              <w:top w:w="0" w:type="dxa"/>
              <w:left w:w="0" w:type="dxa"/>
              <w:bottom w:w="0" w:type="dxa"/>
              <w:right w:w="0" w:type="dxa"/>
            </w:tcMar>
            <w:vAlign w:val="center"/>
          </w:tcPr>
          <w:p>
            <w:pPr>
              <w:pStyle w:val="TableContents"/>
              <w:bidi w:val="0"/>
              <w:spacing w:before="40" w:after="40"/>
              <w:jc w:val="left"/>
              <w:rPr/>
            </w:pPr>
            <w:hyperlink w:anchor="overall_liquidity">
              <w:r>
                <w:rPr>
                  <w:rStyle w:val="InternetLink"/>
                  <w:rFonts w:ascii="Times New Roman" w:hAnsi="Times New Roman"/>
                  <w:color w:val="0563C1"/>
                  <w:sz w:val="20"/>
                  <w:u w:val="single"/>
                </w:rPr>
                <w:t>Overall Liquidity</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36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44</w:t>
            </w:r>
          </w:p>
        </w:tc>
      </w:tr>
      <w:tr>
        <w:trPr/>
        <w:tc>
          <w:tcPr>
            <w:tcW w:w="811" w:type="dxa"/>
            <w:tcBorders/>
            <w:tcMar>
              <w:top w:w="0" w:type="dxa"/>
              <w:left w:w="0" w:type="dxa"/>
              <w:bottom w:w="0" w:type="dxa"/>
              <w:right w:w="0" w:type="dxa"/>
            </w:tcMar>
            <w:vAlign w:val="center"/>
          </w:tcPr>
          <w:p>
            <w:pPr>
              <w:pStyle w:val="TableContents"/>
              <w:bidi w:val="0"/>
              <w:spacing w:before="40" w:after="40"/>
              <w:jc w:val="left"/>
              <w:rPr/>
            </w:pPr>
            <w:r>
              <w:rPr/>
              <w:t> </w:t>
            </w:r>
          </w:p>
        </w:tc>
        <w:tc>
          <w:tcPr>
            <w:tcW w:w="4966" w:type="dxa"/>
            <w:tcBorders/>
            <w:tcMar>
              <w:top w:w="0" w:type="dxa"/>
              <w:left w:w="0" w:type="dxa"/>
              <w:bottom w:w="0" w:type="dxa"/>
              <w:right w:w="0" w:type="dxa"/>
            </w:tcMar>
            <w:vAlign w:val="center"/>
          </w:tcPr>
          <w:p>
            <w:pPr>
              <w:pStyle w:val="TableContents"/>
              <w:bidi w:val="0"/>
              <w:spacing w:before="40" w:after="40"/>
              <w:jc w:val="left"/>
              <w:rPr/>
            </w:pPr>
            <w:hyperlink w:anchor="review_of_cash_flow_statement">
              <w:r>
                <w:rPr>
                  <w:rStyle w:val="InternetLink"/>
                  <w:rFonts w:ascii="Times New Roman" w:hAnsi="Times New Roman"/>
                  <w:color w:val="0563C1"/>
                  <w:sz w:val="20"/>
                  <w:u w:val="single"/>
                </w:rPr>
                <w:t>Review of Condensed Consolidated Cash Flow Statement</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36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44</w:t>
            </w:r>
          </w:p>
        </w:tc>
      </w:tr>
      <w:tr>
        <w:trPr/>
        <w:tc>
          <w:tcPr>
            <w:tcW w:w="811" w:type="dxa"/>
            <w:tcBorders/>
            <w:tcMar>
              <w:top w:w="0" w:type="dxa"/>
              <w:left w:w="0" w:type="dxa"/>
              <w:bottom w:w="0" w:type="dxa"/>
              <w:right w:w="0" w:type="dxa"/>
            </w:tcMar>
            <w:vAlign w:val="center"/>
          </w:tcPr>
          <w:p>
            <w:pPr>
              <w:pStyle w:val="TableContents"/>
              <w:bidi w:val="0"/>
              <w:spacing w:before="40" w:after="40"/>
              <w:jc w:val="left"/>
              <w:rPr/>
            </w:pPr>
            <w:r>
              <w:rPr/>
              <w:t> </w:t>
            </w:r>
          </w:p>
        </w:tc>
        <w:tc>
          <w:tcPr>
            <w:tcW w:w="4966" w:type="dxa"/>
            <w:tcBorders/>
            <w:tcMar>
              <w:top w:w="0" w:type="dxa"/>
              <w:left w:w="0" w:type="dxa"/>
              <w:bottom w:w="0" w:type="dxa"/>
              <w:right w:w="0" w:type="dxa"/>
            </w:tcMar>
            <w:vAlign w:val="center"/>
          </w:tcPr>
          <w:p>
            <w:pPr>
              <w:pStyle w:val="TableContents"/>
              <w:bidi w:val="0"/>
              <w:spacing w:before="40" w:after="40"/>
              <w:jc w:val="left"/>
              <w:rPr/>
            </w:pPr>
            <w:hyperlink w:anchor="capital_resources">
              <w:r>
                <w:rPr>
                  <w:rStyle w:val="InternetLink"/>
                  <w:rFonts w:ascii="Times New Roman" w:hAnsi="Times New Roman"/>
                  <w:color w:val="0563C1"/>
                  <w:sz w:val="20"/>
                  <w:u w:val="single"/>
                </w:rPr>
                <w:t>Capital Resources</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36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45</w:t>
            </w:r>
          </w:p>
        </w:tc>
      </w:tr>
      <w:tr>
        <w:trPr/>
        <w:tc>
          <w:tcPr>
            <w:tcW w:w="811" w:type="dxa"/>
            <w:tcBorders/>
            <w:tcMar>
              <w:top w:w="0" w:type="dxa"/>
              <w:left w:w="0" w:type="dxa"/>
              <w:bottom w:w="0" w:type="dxa"/>
              <w:right w:w="0" w:type="dxa"/>
            </w:tcMar>
            <w:vAlign w:val="center"/>
          </w:tcPr>
          <w:p>
            <w:pPr>
              <w:pStyle w:val="TableContents"/>
              <w:bidi w:val="0"/>
              <w:spacing w:before="40" w:after="40"/>
              <w:jc w:val="left"/>
              <w:rPr/>
            </w:pPr>
            <w:r>
              <w:rPr/>
              <w:t> </w:t>
            </w:r>
          </w:p>
        </w:tc>
        <w:tc>
          <w:tcPr>
            <w:tcW w:w="4966" w:type="dxa"/>
            <w:tcBorders/>
            <w:tcMar>
              <w:top w:w="0" w:type="dxa"/>
              <w:left w:w="0" w:type="dxa"/>
              <w:bottom w:w="0" w:type="dxa"/>
              <w:right w:w="0" w:type="dxa"/>
            </w:tcMar>
            <w:vAlign w:val="center"/>
          </w:tcPr>
          <w:p>
            <w:pPr>
              <w:pStyle w:val="TableContents"/>
              <w:bidi w:val="0"/>
              <w:spacing w:before="40" w:after="40"/>
              <w:jc w:val="left"/>
              <w:rPr/>
            </w:pPr>
            <w:hyperlink w:anchor="capital_expenditures">
              <w:r>
                <w:rPr>
                  <w:rStyle w:val="InternetLink"/>
                  <w:rFonts w:ascii="Times New Roman" w:hAnsi="Times New Roman"/>
                  <w:color w:val="0563C1"/>
                  <w:sz w:val="20"/>
                  <w:u w:val="single"/>
                </w:rPr>
                <w:t>Capital Expenditures</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36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46</w:t>
            </w:r>
          </w:p>
        </w:tc>
      </w:tr>
      <w:tr>
        <w:trPr/>
        <w:tc>
          <w:tcPr>
            <w:tcW w:w="811" w:type="dxa"/>
            <w:tcBorders/>
            <w:tcMar>
              <w:top w:w="0" w:type="dxa"/>
              <w:left w:w="0" w:type="dxa"/>
              <w:bottom w:w="0" w:type="dxa"/>
              <w:right w:w="0" w:type="dxa"/>
            </w:tcMar>
            <w:vAlign w:val="center"/>
          </w:tcPr>
          <w:p>
            <w:pPr>
              <w:pStyle w:val="TableContents"/>
              <w:bidi w:val="0"/>
              <w:spacing w:before="40" w:after="40"/>
              <w:jc w:val="left"/>
              <w:rPr/>
            </w:pPr>
            <w:r>
              <w:rPr/>
              <w:t> </w:t>
            </w:r>
          </w:p>
        </w:tc>
        <w:tc>
          <w:tcPr>
            <w:tcW w:w="4966" w:type="dxa"/>
            <w:tcBorders/>
            <w:tcMar>
              <w:top w:w="0" w:type="dxa"/>
              <w:left w:w="0" w:type="dxa"/>
              <w:bottom w:w="0" w:type="dxa"/>
              <w:right w:w="0" w:type="dxa"/>
            </w:tcMar>
            <w:vAlign w:val="center"/>
          </w:tcPr>
          <w:p>
            <w:pPr>
              <w:pStyle w:val="TableContents"/>
              <w:bidi w:val="0"/>
              <w:spacing w:before="40" w:after="40"/>
              <w:jc w:val="left"/>
              <w:rPr/>
            </w:pPr>
            <w:hyperlink w:anchor="pension_plan">
              <w:r>
                <w:rPr>
                  <w:rStyle w:val="InternetLink"/>
                  <w:rFonts w:ascii="Times New Roman" w:hAnsi="Times New Roman"/>
                  <w:color w:val="0563C1"/>
                  <w:sz w:val="20"/>
                  <w:u w:val="single"/>
                </w:rPr>
                <w:t>Pension Plan</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36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46</w:t>
            </w:r>
          </w:p>
        </w:tc>
      </w:tr>
      <w:tr>
        <w:trPr/>
        <w:tc>
          <w:tcPr>
            <w:tcW w:w="811" w:type="dxa"/>
            <w:tcBorders/>
            <w:tcMar>
              <w:top w:w="0" w:type="dxa"/>
              <w:left w:w="0" w:type="dxa"/>
              <w:bottom w:w="0" w:type="dxa"/>
              <w:right w:w="0" w:type="dxa"/>
            </w:tcMar>
            <w:vAlign w:val="center"/>
          </w:tcPr>
          <w:p>
            <w:pPr>
              <w:pStyle w:val="TableContents"/>
              <w:bidi w:val="0"/>
              <w:spacing w:before="40" w:after="40"/>
              <w:jc w:val="left"/>
              <w:rPr/>
            </w:pPr>
            <w:r>
              <w:rPr/>
              <w:t> </w:t>
            </w:r>
          </w:p>
        </w:tc>
        <w:tc>
          <w:tcPr>
            <w:tcW w:w="4966" w:type="dxa"/>
            <w:tcBorders/>
            <w:tcMar>
              <w:top w:w="0" w:type="dxa"/>
              <w:left w:w="0" w:type="dxa"/>
              <w:bottom w:w="0" w:type="dxa"/>
              <w:right w:w="0" w:type="dxa"/>
            </w:tcMar>
            <w:vAlign w:val="center"/>
          </w:tcPr>
          <w:p>
            <w:pPr>
              <w:pStyle w:val="TableContents"/>
              <w:bidi w:val="0"/>
              <w:spacing w:before="40" w:after="40"/>
              <w:jc w:val="left"/>
              <w:rPr/>
            </w:pPr>
            <w:hyperlink w:anchor="environmental_issues_and_contingencies">
              <w:r>
                <w:rPr>
                  <w:rStyle w:val="InternetLink"/>
                  <w:rFonts w:ascii="Times New Roman" w:hAnsi="Times New Roman"/>
                  <w:color w:val="0563C1"/>
                  <w:sz w:val="20"/>
                  <w:u w:val="single"/>
                </w:rPr>
                <w:t>Environmental Issues and Contingencies</w:t>
              </w:r>
            </w:hyperlink>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36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47</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tcMar>
              <w:top w:w="0" w:type="dxa"/>
              <w:left w:w="0" w:type="dxa"/>
              <w:bottom w:w="0" w:type="dxa"/>
              <w:right w:w="0" w:type="dxa"/>
            </w:tcMar>
            <w:vAlign w:val="center"/>
          </w:tcPr>
          <w:p>
            <w:pPr>
              <w:pStyle w:val="TableContents"/>
              <w:bidi w:val="0"/>
              <w:spacing w:before="0" w:after="283"/>
              <w:jc w:val="left"/>
              <w:rPr/>
            </w:pPr>
            <w:hyperlink w:anchor="enterprise_risk_management">
              <w:r>
                <w:rPr>
                  <w:rStyle w:val="InternetLink"/>
                  <w:rFonts w:ascii="Times New Roman" w:hAnsi="Times New Roman"/>
                  <w:color w:val="0563C1"/>
                  <w:sz w:val="20"/>
                  <w:u w:val="single"/>
                </w:rPr>
                <w:t>Enterprise Risk Management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47</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4966"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563C1"/>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4966"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563C1"/>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777" w:type="dxa"/>
            <w:gridSpan w:val="2"/>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color w:val="0563C1"/>
                  <w:sz w:val="20"/>
                  <w:u w:val="single"/>
                </w:rPr>
                <w:t>Part II.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496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563C1"/>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496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563C1"/>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4966"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563C1"/>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496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563C1"/>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tcMar>
              <w:top w:w="0" w:type="dxa"/>
              <w:left w:w="0" w:type="dxa"/>
              <w:bottom w:w="0" w:type="dxa"/>
              <w:right w:w="0" w:type="dxa"/>
            </w:tcMar>
            <w:vAlign w:val="center"/>
          </w:tcPr>
          <w:p>
            <w:pPr>
              <w:pStyle w:val="TableContents"/>
              <w:bidi w:val="0"/>
              <w:spacing w:before="0" w:after="283"/>
              <w:jc w:val="left"/>
              <w:rPr/>
            </w:pPr>
            <w:hyperlink w:anchor="signature">
              <w:r>
                <w:rPr>
                  <w:rStyle w:val="InternetLink"/>
                  <w:rFonts w:ascii="Times New Roman" w:hAnsi="Times New Roman"/>
                  <w:color w:val="0563C1"/>
                  <w:sz w:val="20"/>
                  <w:u w:val="single"/>
                </w:rPr>
                <w:t>Signature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jc w:val="center"/>
        <w:rPr>
          <w:rFonts w:ascii="Times New Roman" w:hAnsi="Times New Roman"/>
          <w:color w:val="000000"/>
          <w:sz w:val="20"/>
        </w:rPr>
      </w:pPr>
      <w:bookmarkStart w:id="3" w:name="acronyms_terms"/>
      <w:bookmarkEnd w:id="3"/>
      <w:r>
        <w:rPr>
          <w:rFonts w:ascii="Times New Roman" w:hAnsi="Times New Roman"/>
          <w:color w:val="000000"/>
          <w:sz w:val="20"/>
        </w:rPr>
        <w:t>ACRONYMS AND TERMS</w:t>
      </w:r>
    </w:p>
    <w:p>
      <w:pPr>
        <w:pStyle w:val="TextBody"/>
        <w:bidi w:val="0"/>
        <w:jc w:val="center"/>
        <w:rPr>
          <w:rFonts w:ascii="Times New Roman" w:hAnsi="Times New Roman"/>
          <w:color w:val="000000"/>
          <w:sz w:val="20"/>
        </w:rPr>
      </w:pPr>
      <w:r>
        <w:rPr>
          <w:rFonts w:ascii="Times New Roman" w:hAnsi="Times New Roman"/>
          <w:color w:val="000000"/>
          <w:sz w:val="20"/>
        </w:rPr>
        <w:t>(The following acronyms and terms are found in multiple locations within the document)</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229"/>
        <w:gridCol w:w="166"/>
        <w:gridCol w:w="8810"/>
      </w:tblGrid>
      <w:tr>
        <w:trPr/>
        <w:tc>
          <w:tcPr>
            <w:tcW w:w="12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8810" w:type="dxa"/>
            <w:tcBorders/>
            <w:vAlign w:val="center"/>
          </w:tcPr>
          <w:p>
            <w:pPr>
              <w:pStyle w:val="TableContents"/>
              <w:bidi w:val="0"/>
              <w:spacing w:before="0" w:after="283"/>
              <w:jc w:val="left"/>
              <w:rPr>
                <w:sz w:val="4"/>
                <w:szCs w:val="4"/>
              </w:rPr>
            </w:pPr>
            <w:r>
              <w:rPr>
                <w:sz w:val="4"/>
                <w:szCs w:val="4"/>
              </w:rPr>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16"/>
                <w:u w:val="single"/>
              </w:rPr>
            </w:pPr>
            <w:r>
              <w:rPr>
                <w:rFonts w:ascii="Times New Roman" w:hAnsi="Times New Roman"/>
                <w:color w:val="000000"/>
                <w:sz w:val="16"/>
                <w:u w:val="single"/>
              </w:rPr>
              <w:t>Acronym/Term</w:t>
            </w:r>
          </w:p>
        </w:tc>
        <w:tc>
          <w:tcPr>
            <w:tcW w:w="8976" w:type="dxa"/>
            <w:gridSpan w:val="2"/>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16"/>
                <w:u w:val="single"/>
              </w:rPr>
            </w:pPr>
            <w:r>
              <w:rPr>
                <w:rFonts w:ascii="Times New Roman" w:hAnsi="Times New Roman"/>
                <w:color w:val="000000"/>
                <w:sz w:val="16"/>
                <w:u w:val="single"/>
              </w:rPr>
              <w:t>Meaning</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AEL&amp;P</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Alaska Electric Light and Power Company, the primary operating subsidiary of AERC, which provides electric services in Juneau, Alaska</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AERC</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Alaska Energy and Resources Company, the Company's wholly-owned subsidiary based in Juneau, Alaska</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AFUDC</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Allowance for Funds Used During Construction, represents the cost of both the debt and equity funds used to finance utility plant additions during the construction period</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ASC</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Accounting Standards Codification</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ASU</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Accounting Standards Update</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Avista Capital</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Parent company to the Company’s non-utility businesses, with the exception of AJT Mining Properties, Inc., which is a subsidiary of AERC.</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Avista Corp.</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Avista Corporation, the Company</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Avista Utilities</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Operating division of Avista Corp. (not a subsidiary) comprising the regulated utility operations in the Pacific Northwest</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Capacity</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The rate at which a particular generating source is capable of producing energy, measured in KW or MW</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CARES Act</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Coronavirus Aid, Relief, and Economic Security Act</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CCA</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Climate Commitment Act</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Colstrip</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The coal-fired Colstrip Generating Plant in southeastern Montana</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Cooling degree days</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The measure of the warmness of weather experienced, based on the extent to which the average of high and low temperatures for a day is above 65 degrees Fahrenheit (annual degree days above historic indicate warmer than average temperatures)</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Energy</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The amount of electricity produced or consumed over a period of time, measured in KWh or MWh. Also, refers to natural gas consumed and is measured in dekatherms</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ERM</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The Energy Recovery Mechanism, a mechanism for accounting and rate recovery of certain power supply costs accepted by the utility commission in the state of Washington</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FASB</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Financial Accounting Standards Board</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FCA</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Fixed Cost Adjustment, the electric and natural gas decoupling mechanism in Idaho</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FERC</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Federal Energy Regulatory Commission</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GAAP</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Generally Accepted Accounting Principles</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Heating degree days</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The measure of the coldness of weather experienced, based on the extent to which the average of high and low temperatures for a day falls below 65 degrees Fahrenheit (annual degree days below historic indicate warmer than average temperatures)</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IPUC</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Idaho Public Utilities Commission</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KW, KWh</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Kilowatt (1000 watts): a measure of generating power or capability. Kilowatt-hour (1000 watt hours): a measure of energy produced over a period of time</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mmBTU</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One million British Thermal Units, a thermal unit of measurement for natural gas</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MW, MWh</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Megawatt: 1000 KW. Megawatt-hour: 1000 KWh</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MYRP</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Multi-year rate plan</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OPUC</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The Public Utility Commission of Oregon</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PCA</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The Power Cost Adjustment mechanism, a procedure for accounting and rate recovery of certain power supply costs accepted by the utility commission in the state of Idaho</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PGA</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Purchased Gas Adjustment</w:t>
            </w:r>
          </w:p>
        </w:tc>
      </w:tr>
      <w:tr>
        <w:trPr/>
        <w:tc>
          <w:tcPr>
            <w:tcW w:w="122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PPA</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88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Power Purchase Agreement</w:t>
            </w:r>
          </w:p>
        </w:tc>
      </w:tr>
    </w:tbl>
    <w:p>
      <w:pPr>
        <w:pStyle w:val="TextBody"/>
        <w:bidi w:val="0"/>
        <w:spacing w:before="20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1"/>
        <w:gridCol w:w="166"/>
        <w:gridCol w:w="9348"/>
      </w:tblGrid>
      <w:tr>
        <w:trPr/>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348" w:type="dxa"/>
            <w:tcBorders/>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ROE</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9348"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Return on equity</w:t>
            </w:r>
          </w:p>
        </w:tc>
      </w:tr>
      <w:tr>
        <w:trPr/>
        <w:tc>
          <w:tcPr>
            <w:tcW w:w="69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ROR</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9348"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Rate of return on rate base</w:t>
            </w:r>
          </w:p>
        </w:tc>
      </w:tr>
      <w:tr>
        <w:trPr/>
        <w:tc>
          <w:tcPr>
            <w:tcW w:w="69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ROU</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9348"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Right-of-use lease asset</w:t>
            </w:r>
          </w:p>
        </w:tc>
      </w:tr>
      <w:tr>
        <w:trPr/>
        <w:tc>
          <w:tcPr>
            <w:tcW w:w="69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SEC</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9348"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U.S. Securities and Exchange Commission</w:t>
            </w:r>
          </w:p>
        </w:tc>
      </w:tr>
      <w:tr>
        <w:trPr/>
        <w:tc>
          <w:tcPr>
            <w:tcW w:w="69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SOFR</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9348"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Secured Overnight Financing Rate</w:t>
            </w:r>
          </w:p>
        </w:tc>
      </w:tr>
      <w:tr>
        <w:trPr/>
        <w:tc>
          <w:tcPr>
            <w:tcW w:w="69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Therm</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9348"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Unit of measurement for natural gas; a therm is equal to approximately one hundred cubic feet (volume) or 100,000 BTUs (energy)</w:t>
            </w:r>
          </w:p>
        </w:tc>
      </w:tr>
      <w:tr>
        <w:trPr/>
        <w:tc>
          <w:tcPr>
            <w:tcW w:w="69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Watt</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9348"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Unit of measurement of electric power or capability; a watt is equal to the rate of work represented by a current of one ampere under a pressure of one volt</w:t>
            </w:r>
          </w:p>
        </w:tc>
      </w:tr>
      <w:tr>
        <w:trPr/>
        <w:tc>
          <w:tcPr>
            <w:tcW w:w="69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WUTC</w:t>
            </w:r>
          </w:p>
        </w:tc>
        <w:tc>
          <w:tcPr>
            <w:tcW w:w="1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6"/>
              </w:rPr>
            </w:pPr>
            <w:r>
              <w:rPr>
                <w:rFonts w:ascii="Times New Roman" w:hAnsi="Times New Roman"/>
                <w:color w:val="000000"/>
                <w:sz w:val="16"/>
              </w:rPr>
              <w:t>-</w:t>
            </w:r>
          </w:p>
        </w:tc>
        <w:tc>
          <w:tcPr>
            <w:tcW w:w="9348"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Washington Utilities and Transportation Commission</w:t>
            </w:r>
          </w:p>
        </w:tc>
      </w:tr>
    </w:tbl>
    <w:p>
      <w:pPr>
        <w:pStyle w:val="TextBody"/>
        <w:bidi w:val="0"/>
        <w:spacing w:before="20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jc w:val="left"/>
        <w:rPr>
          <w:rFonts w:ascii="Times New Roman" w:hAnsi="Times New Roman"/>
          <w:b/>
          <w:color w:val="000000"/>
          <w:sz w:val="20"/>
          <w:u w:val="single"/>
        </w:rPr>
      </w:pPr>
      <w:bookmarkStart w:id="4" w:name="forwardlooking_statements"/>
      <w:bookmarkEnd w:id="4"/>
      <w:r>
        <w:rPr>
          <w:rFonts w:ascii="Times New Roman" w:hAnsi="Times New Roman"/>
          <w:b/>
          <w:color w:val="000000"/>
          <w:sz w:val="20"/>
          <w:u w:val="single"/>
        </w:rPr>
        <w:t>Forward-Looking Statements</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From time to time, we make forward-looking statements such as statements regarding projected or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flows;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capital expenditures;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dividends;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capital 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financial items;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strategic goals and objectives;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environment;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plans for operations.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These statements are based upon underlying assumptions (many of which are based, in turn, upon further assumptions). Such statements are made both in our reports filed under the Securities Exchange Act of 1934, as amended (including this Quarterly Report on Form 10-Q), and elsewhere. Forward-looking statements are all statements except those of historical fact including, without limitation, those identified by the use of words that include “will,” “may,” “could,” “should,” “intends,” “plans,” “aspires,” “assumes,” “targets,” “seeks,” “anticipates,” “estimates,” “expects,” “forecasts,” “projects,” “predicts,” and similar expressions.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Forward-looking statements (including those made in this Quarterly Report on Form 10-Q) are subject to a variety of risks, uncertainties and other factors. Most of these factors are beyond our control. Any of these factors may have a significant effect on our operations, results of operations, financial condition or cash flows, and could cause actual results to differ materially from those anticipated in our statements. Such risks, uncertainties and other factors include, among others: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Utility Regulatory Risk</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state and federal regulatory decisions or related judicial decisions that affect our ability to recover costs and earn a reasonable return, including, but not limited to, disallowance or delay in the recovery of capital investments, operating costs, commodity costs, the ordering of refunds to customers and discretion over allowed return on investment;</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the loss of regulatory accounting treatment, which could require the write-off of regulatory assets and the loss of regulatory deferral and recovery mechanisms;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Operational Risk</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weather conditions, which affect both energy demand and electric generating capability, including the impact of precipitation and temperature on hydroelectric resources, the impact of wind patterns on wind-generated power, weather-sensitive customer demand, and similar impacts on supply and demand in the wholesale energy markets;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wildfires ignited, or allegedly ignited, by our equipment or facilities could cause significant loss of life and property or result in liability for resulting fire suppression costs and/or damages, thereby causing serious operational, reputational and financial harm;</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severe weather or natural disasters, including, but not limited to, avalanches, wind storms, wildfires, earthquakes, floods, extreme temperature events, snow and ice storms that could disrupt energy generation, transmission and distribution, as well as the availability and costs of fuel, materials, equipment, supplies and support services;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 xml:space="preserve">political unrest and/or conflicts between foreign nation-states, which could disrupt the global, national and local economy, result in increases in operating and capital costs, impact energy commodity prices or our ability to access energy resources, create disruption in supply chains, disrupt, weaken or create volatility in capital markets, and increase cyber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and physical security risks. In addition, any of these factors could negatively impact our liquidity and limit our access to capital, among other implications;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explosions, fires, accidents, mechanical breakdowns or other incidents that could impair assets and may disrupt operations of our generation facilities, transmission, and electric and natural gas distribution systems or other operations and may require us to purchase replacement power or incur costs to repair our facilities;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interruptions in the delivery of natural gas by our suppliers, including physical problems with pipelines themselves, can disrupt our service of natural gas to our customers and/or impair our ability to operate gas-fired electric generating facilities;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explosions, fires, accidents or other incidents arising from or allegedly arising from our operations that could cause injuries to the public or property damage;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dam failure at a company-owned hydroelectric facility</w:t>
      </w:r>
      <w:r>
        <w:rPr>
          <w:rFonts w:ascii="Times New Roman" w:hAnsi="Times New Roman"/>
          <w:color w:val="212529"/>
          <w:sz w:val="20"/>
        </w:rPr>
        <w:t>;</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blackouts or disruptions of interconnected transmission systems (the regional power grid);</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terrorist attacks, cyberattacks or other malicious acts that could disrupt or cause damage to our utility assets or to the national or regional economy in general, including effects of terrorism, cyberattacks, ransomware, or vandalism that damage or disrupt information technology systems;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pandemics, which could disrupt our business, as well as the global, national and local economy, resulting in a decline in customer demand, deterioration in the creditworthiness of our customers, increases in operating and capital costs, workforce shortages, losses or disruptions in our workforce due to vaccine mandates, delays in capital projects, disruption in supply chains, and disruption, weakness and volatility in capital markets. In addition, any of these factors could negatively impact our liquidity and limit our access to capital, among other implications;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work-force issues, including changes in collective bargaining unit agreements, strikes, work stoppages, the loss of key executives, availability of workers in a variety of skill areas, and our ability to recruit and retain employees;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changes in the availability and price of purchased power, fuel and natural gas, as well as transmission capacity;</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increasing costs of insurance, more restrictive coverage terms and our ability to obtain insurance;</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delays or changes in construction costs, and/or our ability to obtain required permits and materials for present or prospective facilities;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increasing health care costs and cost of health insurance provided to our employees and retirees;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increasing operating costs, including effects of inflationary pressures;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third party construction of buildings, billboard signs, towers or other structures within our rights of way, or placement of fuel containers within close proximity to our transformers or other equipment, including overbuilding atop natural gas distribution lines;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the loss of key suppliers for materials or services or other disruptions to the supply chain;</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adverse impacts to our Alaska electric utility (AEL&amp;P) that could result from an extended outage of its hydroelectric generating resources or their inability to deliver energy, due to their lack of interconnectivity to other electrical grids and the availability or cost of replacement power (diesel);</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changing river or reservoir regulation or operations at hydroelectric facilities not owned by us, which could impact our hydroelectric facilities downstream;</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Climate Change Risk</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increasing frequency and intensity of severe weather or natural disasters resulting from climate change that could disrupt energy generation, transmission and distribution, as well as the availability and costs of fuel, materials, equipment, supplies and support services;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change in the use, availability or abundancy of water resources and/or rights needed for operation of our hydroelectric facilities, including impacts resulting from climate change;</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changes in the long-term climate and weather could materially affect, among other things, customer demand, the volume and timing of streamflows required for hydroelectric generation, costs of generation, transmission and distribution. Increased or new risks may arise from severe weather or natural disasters, including wildfires as well as their increased occurrence and intensity related to changes in climate;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Cybersecurity Risk</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cyberattacks on the operating systems used in the operation of our electric generation, transmission and distribution facilities and our natural gas distribution facilities, and cyberattacks on such systems of other energy companies with which we are interconnected, which could damage or destroy facilities or systems or disrupt operations for extended periods of time and result in the incurrence of liabilities and costs;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cyberattacks on the administrative systems used in the administration of our business, including customer billing and customer service, accounting, communications, compliance and other administrative functions, and cyberattacks on such systems of our vendors and other companies with which we do business, resulting in the disruption of business operations, the release of private information and the incurrence of liabilities and costs;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Technology Risk</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changes in technologies, possibly making some of the current technology we utilize obsolete or introducing new cybersecurity risks and other new risks inherent in the use, by either us or our counterparties, of new technologies in the developmental stage including, without limitation, generative artificial intelligence;</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changes in the use, perception, or regulation of generative artificial intelligence technologies, which could limit our ability to utilize such technology, create risk of enhanced regulatory scrutiny, generate uncertainty around intellectual property ownership, licensing or use, or which could otherwise result in risk of damage to our business, reputation or financial results;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changes in costs that impede our ability to implement new information technology systems or to operate and maintain current production technology;</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insufficient technology skills, which could lead to the inability to develop, modify or maintain our information systems;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Strategic Risk</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growth or decline of our customer base due to new uses for our services or decline in existing services, including, but not limited to, the effect of the trend toward distributed generation at customer sites;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the potential effects of negative publicity regarding our business practices, whether true or not, which could hurt our reputation and result in litigation or a decline in our common stock price;</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changes in our strategic business plans, which could be affected by any or all of the foregoing, including the entry into new businesses and/or the exit from existing businesses and the extent of our business development efforts where potential future business is uncertain;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wholesale and retail competition including alternative energy sources, growth in customer-owned power resource technologies that displace utility-supplied energy or may be sold back to the utility, and alternative energy suppliers and delivery arrangements;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non-regulated activities may increase earnings volatility and result in investment losses;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the risk of municipalization or other forms of service territory reduction;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External Mandates Risk</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changes in environmental laws, regulations, decisions and policies, including, but not limited to, regulatory responses to concerns regarding climate change, efforts to restore anadromous fish in areas currently blocked by dams, more stringent requirements related to air quality, water quality and waste management, present and potential environmental remediation costs and our compliance with these matters;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the potential effects of initiatives, legislation or administrative rulemaking at the federal, state or local levels, including possible effects on our generating resources, prohibitions or restrictions on new or existing services, or restrictions on greenhouse gas emissions to mitigate concerns over climate changes, including future limitations on the usage and distribution of natural gas;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restrictions or changes in government grant programs and/or availability of other public funding used for capital projects;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political pressures or regulatory practices that could constrain or place additional cost burdens on our distribution systems through accelerated adoption of distributed generation or electric-powered transportation or on our energy supply sources, such as campaigns to halt fossil fuel-fired power generation and opposition to other thermal generation, wind turbines or hydroelectric facilities;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failure to identify changes in legislation, taxation and regulatory issues that could be detrimental or beneficial to our overall business;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policy and/or legislative changes in various regulated areas, including, but not limited to, environmental regulation, healthcare regulations and import/export regulations;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 xml:space="preserve">increasing costs due to potential tariffs applied to energy commodities and/or equipment and materials;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Financial Risk</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our ability to obtain financing through the issuance of debt and/or equity securities and access to our funds held with financial institutions, which could be affected by various factors including our credit ratings, interest rates, other capital market conditions and global economic conditions;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changes in interest rates that affect borrowing costs, variable interest rate borrowing and the extent to which we recover interest costs through retail rates collected from customers;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volatility in energy commodity markets that affects our ability to effectively hedge energy commodity risks, including cash flow impacts and requirements for collateral;</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volatility in the carbon emissions allowances market that could result in increased compliance costs;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changes in actuarial assumptions, interest rates and the actual return on plan assets for our pension and other postretirement benefit plans, which could affect future funding obligations, pension and other postretirement benefit expense and the related liabilities;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the outcome of legal proceedings and other contingencies;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economic conditions in our service areas, including the economy's effects on customer demand for utility services;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economic conditions nationally may affect the valuation of our unregulated portfolio companies;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declining electricity demand related to customer energy efficiency, conservation measures and/or increased distributed generation and declining natural gas demand related to customer energy efficiency, conservation measures and/or increased electrification;</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industry and geographic concentrations which could increase our exposure to credit risks due to counterparties, suppliers and customers being similarly affected by changing conditions;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deterioration in the creditworthiness of our customers;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activist shareholders may result in additional costs and resources required in response to activist actions;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Energy Commodity Risk</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volatility and illiquidity in wholesale energy markets, including exchanges, the availability of willing buyers and sellers, changes in wholesale energy prices that could affect operating income, cash requirements to purchase electricity and natural gas, value received for wholesale sales, collateral required of us by individual counterparties and/or exchanges in wholesale energy transactions and credit risk from such transactions, and the market value of derivative assets and liabilities;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default or nonperformance on the part of parties from whom we purchase and/or sell capacity or energy;</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potential environmental regulations or lawsuits affecting our ability to utilize or resulting in the obsolescence of our power supply resources;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explosions, fires, accidents, pipeline ruptures or other incidents that could limit energy supply to our facilities or our surrounding territory, which could result in a shortage of commodities in the market that could increase the cost of replacement commodities from other 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Compliance Risk</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changes in laws, regulations, decisions and policies at the federal, state or local levels, which could impact both our electric and gas operations and costs of operations;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the ability to comply with the terms of the licenses and permits for our hydroelectric or thermal generating facilities at cost-effective levels;</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Resource Adequacy Risk</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the ability to source and deliver adequate energy to meet customer demand in periods of high demand or unplanned </w:t>
      </w:r>
      <w:r>
        <w:rPr>
          <w:rFonts w:ascii="Times New Roman" w:hAnsi="Times New Roman"/>
          <w:color w:val="212529"/>
          <w:sz w:val="20"/>
        </w:rPr>
        <w:t>events; and</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the potential effects of regional wholesale market strains, including during extreme weather events.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expectations, beliefs and projections are expressed in good faith. We believe they are reasonable based on, without limitation, an examination of historical operating trends, our records and other information available from third parties. However, there can be no assurance that our expectations, beliefs or projections will be achieved. Furthermore, any forward-looking statement speaks only as of the date on which such statement is made. We undertake no obligation to update any forward-looking statement or statements to reflect events or circumstances that occur after the date on which such statement is made or to reflect the occurrence of unanticipated events. New risks, uncertainties and other factors emerge from time to time, and it is not possible to predict all such factors, nor can we assess the effect of each such factor on our business or the extent that any such factor or combination of factors may cause actual results to differ materially from those contained in any forward-looking statement.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b/>
          <w:color w:val="000000"/>
          <w:sz w:val="20"/>
          <w:u w:val="single"/>
        </w:rPr>
      </w:pPr>
      <w:bookmarkStart w:id="5" w:name="available_information"/>
      <w:bookmarkEnd w:id="5"/>
      <w:r>
        <w:rPr>
          <w:rFonts w:ascii="Times New Roman" w:hAnsi="Times New Roman"/>
          <w:b/>
          <w:color w:val="000000"/>
          <w:sz w:val="20"/>
          <w:u w:val="single"/>
        </w:rPr>
        <w:t>Available Information</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We file annual, quarterly and current reports and proxy statements with the SEC. The SEC maintains a website that contains these documents at www.sec.gov. We make annual, quarterly and current reports and proxy statements available on our website, https://investor.avistacorp.com, as soon as practicable after electronically filing these documents with the SEC. Except for SEC filings or portions thereof specifically referred to in this report, information contained on these websites is not part of this report.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u w:val="single"/>
        </w:rPr>
      </w:pPr>
      <w:bookmarkStart w:id="6" w:name="part_i_financial_information"/>
      <w:bookmarkEnd w:id="6"/>
      <w:r>
        <w:rPr>
          <w:rFonts w:ascii="Times New Roman" w:hAnsi="Times New Roman"/>
          <w:b/>
          <w:color w:val="000000"/>
          <w:sz w:val="20"/>
          <w:u w:val="single"/>
        </w:rPr>
        <w:t>PART I. Financial Information</w:t>
      </w:r>
    </w:p>
    <w:p>
      <w:pPr>
        <w:pStyle w:val="TextBody"/>
        <w:bidi w:val="0"/>
        <w:spacing w:before="120" w:after="283"/>
        <w:jc w:val="left"/>
        <w:rPr>
          <w:rFonts w:ascii="Times New Roman" w:hAnsi="Times New Roman"/>
          <w:b/>
          <w:color w:val="000000"/>
          <w:sz w:val="20"/>
          <w:u w:val="single"/>
        </w:rPr>
      </w:pPr>
      <w:bookmarkStart w:id="7" w:name="item_1_condensed_consolidated_financial_"/>
      <w:bookmarkEnd w:id="7"/>
      <w:r>
        <w:rPr>
          <w:rFonts w:ascii="Times New Roman" w:hAnsi="Times New Roman"/>
          <w:b/>
          <w:color w:val="000000"/>
          <w:sz w:val="20"/>
          <w:u w:val="single"/>
        </w:rPr>
        <w:t>Item 1. Condensed Consolidated Financial Statements</w:t>
      </w:r>
    </w:p>
    <w:p>
      <w:pPr>
        <w:pStyle w:val="TextBody"/>
        <w:bidi w:val="0"/>
        <w:spacing w:before="120" w:after="283"/>
        <w:jc w:val="left"/>
        <w:rPr>
          <w:rFonts w:ascii="Times New Roman" w:hAnsi="Times New Roman"/>
          <w:color w:val="000000"/>
          <w:sz w:val="20"/>
        </w:rPr>
      </w:pPr>
      <w:bookmarkStart w:id="8" w:name="condensed_consolidated_statements_income"/>
      <w:bookmarkEnd w:id="8"/>
      <w:r>
        <w:rPr>
          <w:rFonts w:ascii="Times New Roman" w:hAnsi="Times New Roman"/>
          <w:color w:val="000000"/>
          <w:sz w:val="20"/>
        </w:rPr>
        <w:t>CONDENSED CONSOLIDATED STATEMENTS OF INCOME AND COMPREHENSIVE INCOME</w:t>
      </w:r>
    </w:p>
    <w:p>
      <w:pPr>
        <w:pStyle w:val="TextBody"/>
        <w:pBdr>
          <w:bottom w:val="single" w:sz="4" w:space="1" w:color="000000"/>
        </w:pBdr>
        <w:bidi w:val="0"/>
        <w:spacing w:before="120" w:after="283"/>
        <w:jc w:val="left"/>
        <w:rPr>
          <w:rFonts w:ascii="Times New Roman" w:hAnsi="Times New Roman"/>
          <w:i/>
          <w:color w:val="000000"/>
          <w:sz w:val="20"/>
        </w:rPr>
      </w:pPr>
      <w:r>
        <w:rPr>
          <w:rFonts w:ascii="Times New Roman" w:hAnsi="Times New Roman"/>
          <w:i/>
          <w:color w:val="000000"/>
          <w:sz w:val="20"/>
        </w:rPr>
        <w:t>Avista Corporation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Three Months Ended March 31</w:t>
      </w:r>
    </w:p>
    <w:p>
      <w:pPr>
        <w:pStyle w:val="TextBody"/>
        <w:bidi w:val="0"/>
        <w:jc w:val="left"/>
        <w:rPr>
          <w:rFonts w:ascii="Times New Roman" w:hAnsi="Times New Roman"/>
          <w:color w:val="000000"/>
          <w:sz w:val="20"/>
        </w:rPr>
      </w:pPr>
      <w:r>
        <w:rPr>
          <w:rFonts w:ascii="Times New Roman" w:hAnsi="Times New Roman"/>
          <w:color w:val="000000"/>
          <w:sz w:val="20"/>
        </w:rPr>
        <w:t>Dollars in millions, except per share amounts</w:t>
      </w:r>
    </w:p>
    <w:p>
      <w:pPr>
        <w:pStyle w:val="TextBody"/>
        <w:bidi w:val="0"/>
        <w:jc w:val="left"/>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8824" w:type="dxa"/>
        <w:jc w:val="left"/>
        <w:tblInd w:w="0" w:type="dxa"/>
        <w:tblLayout w:type="fixed"/>
        <w:tblCellMar>
          <w:top w:w="28" w:type="dxa"/>
          <w:left w:w="28" w:type="dxa"/>
          <w:bottom w:w="28" w:type="dxa"/>
          <w:right w:w="28" w:type="dxa"/>
        </w:tblCellMar>
      </w:tblPr>
      <w:tblGrid>
        <w:gridCol w:w="5581"/>
        <w:gridCol w:w="146"/>
        <w:gridCol w:w="211"/>
        <w:gridCol w:w="676"/>
        <w:gridCol w:w="166"/>
        <w:gridCol w:w="146"/>
        <w:gridCol w:w="211"/>
        <w:gridCol w:w="676"/>
        <w:gridCol w:w="1011"/>
      </w:tblGrid>
      <w:tr>
        <w:trPr/>
        <w:tc>
          <w:tcPr>
            <w:tcW w:w="5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Utility revenues, exclusive of alternative revenue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Alternative revenue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Utility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5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Resource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Taxes other than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Non-utility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to affiliated trusts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and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(thousands),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80,218</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(thousands),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80,309</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0.98</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0.98</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b/>
          <w:i/>
          <w:color w:val="000000"/>
          <w:sz w:val="20"/>
        </w:rPr>
      </w:pPr>
      <w:r>
        <w:rPr>
          <w:rFonts w:ascii="Times New Roman" w:hAnsi="Times New Roman"/>
          <w:b/>
          <w:i/>
          <w:color w:val="000000"/>
          <w:sz w:val="20"/>
        </w:rPr>
        <w:t>The Accompanying Notes are an Integral Part of These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bookmarkStart w:id="9" w:name="condensed_consolidated_balance_sheets"/>
      <w:bookmarkEnd w:id="9"/>
      <w:r>
        <w:rPr>
          <w:rFonts w:ascii="Times New Roman" w:hAnsi="Times New Roman"/>
          <w:color w:val="000000"/>
          <w:sz w:val="20"/>
        </w:rPr>
        <w:t>CONDENSED CONSOLIDATED BALANCE SHEETS</w:t>
      </w:r>
    </w:p>
    <w:p>
      <w:pPr>
        <w:pStyle w:val="TextBody"/>
        <w:pBdr>
          <w:bottom w:val="single" w:sz="4" w:space="1" w:color="000000"/>
        </w:pBdr>
        <w:bidi w:val="0"/>
        <w:spacing w:before="120" w:after="283"/>
        <w:jc w:val="left"/>
        <w:rPr>
          <w:rFonts w:ascii="Times New Roman" w:hAnsi="Times New Roman"/>
          <w:i/>
          <w:color w:val="000000"/>
          <w:sz w:val="20"/>
        </w:rPr>
      </w:pPr>
      <w:r>
        <w:rPr>
          <w:rFonts w:ascii="Times New Roman" w:hAnsi="Times New Roman"/>
          <w:i/>
          <w:color w:val="000000"/>
          <w:sz w:val="20"/>
        </w:rPr>
        <w:t>Avista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Dollars in millions</w:t>
      </w:r>
    </w:p>
    <w:p>
      <w:pPr>
        <w:pStyle w:val="TextBody"/>
        <w:bidi w:val="0"/>
        <w:jc w:val="left"/>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97"/>
        <w:gridCol w:w="146"/>
        <w:gridCol w:w="216"/>
        <w:gridCol w:w="587"/>
        <w:gridCol w:w="166"/>
        <w:gridCol w:w="146"/>
        <w:gridCol w:w="256"/>
        <w:gridCol w:w="697"/>
        <w:gridCol w:w="794"/>
      </w:tblGrid>
      <w:tr>
        <w:trPr/>
        <w:tc>
          <w:tcPr>
            <w:tcW w:w="71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receivable-less allowances of $6 and $5,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Regulatory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utility property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6,319</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regulatory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property and investments-net and 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8,359</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Regulatory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to affiliated trusts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Pensions and other postretirement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regulatory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 and deferred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5,650</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(See Notes to Condensed Consolidated</w:t>
              <w:br/>
              <w:t>   Financial Statements)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Common stock, no par value; 200,000 shares authorized; 82,638 and 82,193 shares issued and outstanding, respectively (shares 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8,359</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i/>
          <w:color w:val="000000"/>
          <w:sz w:val="20"/>
        </w:rPr>
      </w:pPr>
      <w:r>
        <w:rPr>
          <w:rFonts w:ascii="Times New Roman" w:hAnsi="Times New Roman"/>
          <w:b/>
          <w:i/>
          <w:color w:val="000000"/>
          <w:sz w:val="20"/>
        </w:rPr>
        <w:t>The Accompanying Notes are an Integral Part of These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bookmarkStart w:id="10" w:name="condensed_consolidated_statements_cash_f"/>
      <w:bookmarkEnd w:id="10"/>
      <w:r>
        <w:rPr>
          <w:rFonts w:ascii="Times New Roman" w:hAnsi="Times New Roman"/>
          <w:color w:val="000000"/>
          <w:sz w:val="20"/>
        </w:rPr>
        <w:t>CONDENSED CONSOLIDATED STATEMENTS OF CASH FLOWS</w:t>
      </w:r>
    </w:p>
    <w:p>
      <w:pPr>
        <w:pStyle w:val="TextBody"/>
        <w:pBdr>
          <w:bottom w:val="single" w:sz="4" w:space="1" w:color="000000"/>
        </w:pBdr>
        <w:bidi w:val="0"/>
        <w:spacing w:before="120" w:after="283"/>
        <w:jc w:val="left"/>
        <w:rPr>
          <w:rFonts w:ascii="Times New Roman" w:hAnsi="Times New Roman"/>
          <w:i/>
          <w:color w:val="000000"/>
          <w:sz w:val="20"/>
        </w:rPr>
      </w:pPr>
      <w:r>
        <w:rPr>
          <w:rFonts w:ascii="Times New Roman" w:hAnsi="Times New Roman"/>
          <w:i/>
          <w:color w:val="000000"/>
          <w:sz w:val="20"/>
        </w:rPr>
        <w:t>Avista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w:t>
      </w:r>
    </w:p>
    <w:p>
      <w:pPr>
        <w:pStyle w:val="TextBody"/>
        <w:bidi w:val="0"/>
        <w:jc w:val="left"/>
        <w:rPr>
          <w:rFonts w:ascii="Times New Roman" w:hAnsi="Times New Roman"/>
          <w:color w:val="000000"/>
          <w:sz w:val="20"/>
        </w:rPr>
      </w:pPr>
      <w:r>
        <w:rPr>
          <w:rFonts w:ascii="Times New Roman" w:hAnsi="Times New Roman"/>
          <w:color w:val="000000"/>
          <w:sz w:val="20"/>
        </w:rPr>
        <w:t>Dollars in millions</w:t>
      </w:r>
    </w:p>
    <w:p>
      <w:pPr>
        <w:pStyle w:val="TextBody"/>
        <w:bidi w:val="0"/>
        <w:jc w:val="left"/>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8609" w:type="dxa"/>
        <w:jc w:val="left"/>
        <w:tblInd w:w="0" w:type="dxa"/>
        <w:tblLayout w:type="fixed"/>
        <w:tblCellMar>
          <w:top w:w="28" w:type="dxa"/>
          <w:left w:w="28" w:type="dxa"/>
          <w:bottom w:w="28" w:type="dxa"/>
          <w:right w:w="28" w:type="dxa"/>
        </w:tblCellMar>
      </w:tblPr>
      <w:tblGrid>
        <w:gridCol w:w="6156"/>
        <w:gridCol w:w="146"/>
        <w:gridCol w:w="211"/>
        <w:gridCol w:w="481"/>
        <w:gridCol w:w="166"/>
        <w:gridCol w:w="146"/>
        <w:gridCol w:w="211"/>
        <w:gridCol w:w="481"/>
        <w:gridCol w:w="611"/>
      </w:tblGrid>
      <w:tr>
        <w:trPr/>
        <w:tc>
          <w:tcPr>
            <w:tcW w:w="6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items included in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Benefit from (provision for) 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Power and natural gas cost (deferrals) amortizations,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debt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Equity-related AFUDC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Pension and other postretirement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regulatory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deferred debits and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decoupling regulatory deferral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Realized and unrealized (gains) losses on assets and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Contributions to defined benefit pension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certain current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and notes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Collateral for derivative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Utility property capital expenditures (excluding equity-related AFUDC)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b/>
          <w:i/>
          <w:color w:val="000000"/>
          <w:sz w:val="20"/>
        </w:rPr>
      </w:pPr>
      <w:r>
        <w:rPr>
          <w:rFonts w:ascii="Times New Roman" w:hAnsi="Times New Roman"/>
          <w:b/>
          <w:i/>
          <w:color w:val="000000"/>
          <w:sz w:val="20"/>
        </w:rPr>
        <w:t>The Accompanying Notes are an Integral Part of These Statements.</w:t>
      </w:r>
    </w:p>
    <w:p>
      <w:pPr>
        <w:pStyle w:val="TextBody"/>
        <w:bidi w:val="0"/>
        <w:jc w:val="center"/>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CONDENSED CONSOLIDATED STATEMENTS OF CASH FLOWS (continued)</w:t>
      </w:r>
    </w:p>
    <w:p>
      <w:pPr>
        <w:pStyle w:val="TextBody"/>
        <w:pBdr>
          <w:bottom w:val="single" w:sz="4" w:space="1" w:color="000000"/>
        </w:pBdr>
        <w:bidi w:val="0"/>
        <w:spacing w:before="120" w:after="283"/>
        <w:jc w:val="left"/>
        <w:rPr>
          <w:rFonts w:ascii="Times New Roman" w:hAnsi="Times New Roman"/>
          <w:i/>
          <w:color w:val="000000"/>
          <w:sz w:val="20"/>
        </w:rPr>
      </w:pPr>
      <w:r>
        <w:rPr>
          <w:rFonts w:ascii="Times New Roman" w:hAnsi="Times New Roman"/>
          <w:i/>
          <w:color w:val="000000"/>
          <w:sz w:val="20"/>
        </w:rPr>
        <w:t>Avista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w:t>
      </w:r>
    </w:p>
    <w:p>
      <w:pPr>
        <w:pStyle w:val="TextBody"/>
        <w:bidi w:val="0"/>
        <w:jc w:val="left"/>
        <w:rPr>
          <w:rFonts w:ascii="Times New Roman" w:hAnsi="Times New Roman"/>
          <w:color w:val="000000"/>
          <w:sz w:val="20"/>
        </w:rPr>
      </w:pPr>
      <w:r>
        <w:rPr>
          <w:rFonts w:ascii="Times New Roman" w:hAnsi="Times New Roman"/>
          <w:color w:val="000000"/>
          <w:sz w:val="20"/>
        </w:rPr>
        <w:t>Dollars in millions</w:t>
      </w:r>
    </w:p>
    <w:p>
      <w:pPr>
        <w:pStyle w:val="TextBody"/>
        <w:bidi w:val="0"/>
        <w:jc w:val="left"/>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6234" w:type="dxa"/>
        <w:jc w:val="left"/>
        <w:tblInd w:w="0" w:type="dxa"/>
        <w:tblLayout w:type="fixed"/>
        <w:tblCellMar>
          <w:top w:w="28" w:type="dxa"/>
          <w:left w:w="28" w:type="dxa"/>
          <w:bottom w:w="28" w:type="dxa"/>
          <w:right w:w="28" w:type="dxa"/>
        </w:tblCellMar>
      </w:tblPr>
      <w:tblGrid>
        <w:gridCol w:w="4191"/>
        <w:gridCol w:w="146"/>
        <w:gridCol w:w="211"/>
        <w:gridCol w:w="376"/>
        <w:gridCol w:w="166"/>
        <w:gridCol w:w="146"/>
        <w:gridCol w:w="211"/>
        <w:gridCol w:w="376"/>
        <w:gridCol w:w="411"/>
      </w:tblGrid>
      <w:tr>
        <w:trPr/>
        <w:tc>
          <w:tcPr>
            <w:tcW w:w="4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decrease in short-term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Maturity of long-term debt and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dividends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i/>
          <w:color w:val="000000"/>
          <w:sz w:val="20"/>
        </w:rPr>
      </w:pPr>
      <w:r>
        <w:rPr>
          <w:rFonts w:ascii="Times New Roman" w:hAnsi="Times New Roman"/>
          <w:b/>
          <w:i/>
          <w:color w:val="000000"/>
          <w:sz w:val="20"/>
        </w:rPr>
        <w:t>The Accompanying Notes are an Integral Part of These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bookmarkStart w:id="11" w:name="condensed_consolidated_statements_equity"/>
      <w:bookmarkEnd w:id="11"/>
      <w:r>
        <w:rPr>
          <w:rFonts w:ascii="Times New Roman" w:hAnsi="Times New Roman"/>
          <w:color w:val="000000"/>
          <w:sz w:val="20"/>
        </w:rPr>
        <w:t>CONDENSED CONSOLIDATED STATEMENTS OF EQUITY</w:t>
      </w:r>
    </w:p>
    <w:p>
      <w:pPr>
        <w:pStyle w:val="TextBody"/>
        <w:pBdr>
          <w:bottom w:val="single" w:sz="2" w:space="1" w:color="000000"/>
        </w:pBdr>
        <w:bidi w:val="0"/>
        <w:spacing w:before="120" w:after="283"/>
        <w:jc w:val="left"/>
        <w:rPr>
          <w:rFonts w:ascii="Times New Roman" w:hAnsi="Times New Roman"/>
          <w:i/>
          <w:color w:val="000000"/>
          <w:sz w:val="20"/>
        </w:rPr>
      </w:pPr>
      <w:r>
        <w:rPr>
          <w:rFonts w:ascii="Times New Roman" w:hAnsi="Times New Roman"/>
          <w:i/>
          <w:color w:val="000000"/>
          <w:sz w:val="20"/>
        </w:rPr>
        <w:t>Avista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w:t>
      </w:r>
    </w:p>
    <w:p>
      <w:pPr>
        <w:pStyle w:val="TextBody"/>
        <w:bidi w:val="0"/>
        <w:jc w:val="left"/>
        <w:rPr>
          <w:rFonts w:ascii="Times New Roman" w:hAnsi="Times New Roman"/>
          <w:color w:val="000000"/>
          <w:sz w:val="20"/>
        </w:rPr>
      </w:pPr>
      <w:r>
        <w:rPr>
          <w:rFonts w:ascii="Times New Roman" w:hAnsi="Times New Roman"/>
          <w:color w:val="000000"/>
          <w:sz w:val="20"/>
        </w:rPr>
        <w:t>Dollars in millions, except per share amounts</w:t>
      </w:r>
    </w:p>
    <w:p>
      <w:pPr>
        <w:pStyle w:val="TextBody"/>
        <w:bidi w:val="0"/>
        <w:jc w:val="left"/>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8739" w:type="dxa"/>
        <w:jc w:val="left"/>
        <w:tblInd w:w="0" w:type="dxa"/>
        <w:tblLayout w:type="fixed"/>
        <w:tblCellMar>
          <w:top w:w="28" w:type="dxa"/>
          <w:left w:w="28" w:type="dxa"/>
          <w:bottom w:w="28" w:type="dxa"/>
          <w:right w:w="28" w:type="dxa"/>
        </w:tblCellMar>
      </w:tblPr>
      <w:tblGrid>
        <w:gridCol w:w="6096"/>
        <w:gridCol w:w="146"/>
        <w:gridCol w:w="211"/>
        <w:gridCol w:w="676"/>
        <w:gridCol w:w="166"/>
        <w:gridCol w:w="146"/>
        <w:gridCol w:w="211"/>
        <w:gridCol w:w="676"/>
        <w:gridCol w:w="411"/>
      </w:tblGrid>
      <w:tr>
        <w:trPr/>
        <w:tc>
          <w:tcPr>
            <w:tcW w:w="6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Shares (in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Shares outstanding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80,039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Shares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Shares outstanding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80,561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Amount: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minimum tax withholdings for share-based payment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Dividends on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declared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i/>
          <w:color w:val="000000"/>
          <w:sz w:val="20"/>
        </w:rPr>
      </w:pPr>
      <w:r>
        <w:rPr>
          <w:rFonts w:ascii="Times New Roman" w:hAnsi="Times New Roman"/>
          <w:b/>
          <w:i/>
          <w:color w:val="000000"/>
          <w:sz w:val="20"/>
        </w:rPr>
        <w:t>The Accompanying Notes are an Integral Part of These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40" w:after="40"/>
        <w:jc w:val="left"/>
        <w:rPr>
          <w:rFonts w:ascii="Times New Roman" w:hAnsi="Times New Roman"/>
          <w:b/>
          <w:color w:val="000000"/>
          <w:sz w:val="20"/>
        </w:rPr>
      </w:pPr>
      <w:bookmarkStart w:id="12" w:name="notes_to_condensed_consolidated_financia"/>
      <w:bookmarkEnd w:id="12"/>
      <w:r>
        <w:rPr>
          <w:rFonts w:ascii="Times New Roman" w:hAnsi="Times New Roman"/>
          <w:b/>
          <w:color w:val="000000"/>
          <w:sz w:val="20"/>
        </w:rPr>
        <w:t>NOTES TO CONDENSED CONSOLIDATED FINANCIAL STATEMENTS (Unaudited)</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accompanying condensed consolidated financial statements of Avista Corp. as of and for the interim periods ended March 31, 2026 and March 31, 2025 are unaudited; however, in the opinion of management, the statements reflect all adjustments necessary for a fair statement of the results for the interim periods. All such adjustments are of a normal recurring nature. The condensed consolidated financial statements have been prepared in accordance with GAAP for interim financial information and with the instructions to Form 10-Q and Rule 10-01 of Regulation S-X. The Condensed Consolidated Statements of Income and Comprehensive Income for the interim periods are not necessarily indicative of the results expected for the full year. These condensed consolidated financial statements do not contain the detail or footnote disclosure concerning accounting policies and other matters which would be included in full fiscal year consolidated financial statements; therefore, they should be read in conjunction with the Company's audited consolidated financial statements included in the Company's Annual Report on Form 10-K for the year ended December 31, 2025 (2025 Form 10-K).</w:t>
      </w:r>
    </w:p>
    <w:p>
      <w:pPr>
        <w:pStyle w:val="TextBody"/>
        <w:bidi w:val="0"/>
        <w:spacing w:before="240" w:after="283"/>
        <w:jc w:val="left"/>
        <w:rPr>
          <w:rFonts w:ascii="Times New Roman" w:hAnsi="Times New Roman"/>
          <w:b/>
          <w:color w:val="000000"/>
          <w:sz w:val="20"/>
        </w:rPr>
      </w:pPr>
      <w:bookmarkStart w:id="13" w:name="note_1_summary_significant_accounting_po"/>
      <w:bookmarkEnd w:id="13"/>
      <w:r>
        <w:rPr>
          <w:rFonts w:ascii="Times New Roman" w:hAnsi="Times New Roman"/>
          <w:b/>
          <w:color w:val="000000"/>
          <w:sz w:val="20"/>
        </w:rPr>
        <w:t>NOTE 1. 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Nature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Avista Corp. is primarily an electric and natural gas utility with certain other business ventures. Avista Utilities is an operating division of Avista Corp., comprising its regulated utility operations in the Pacific Northwest. Avista Utilities provides electric distribution and transmission, and natural gas distribution services in parts of eastern Washington and northern Idaho. Avista Utilities also provides natural gas distribution service in parts of northeastern and southwestern Oregon. Avista Utilities has electric generating facilities in Washington, Idaho, Oregon and Montana. Avista Utilities also supplies electricity to a small number of customers in Montana.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AERC is a wholly-owned subsidiary of Avista Corp. The primary subsidiary of AERC is AEL&amp;P, which comprises Avista Corp.'s regulated utility operations in Alaska.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Avista Capital, a wholly owned non-regulated subsidiary of Avista Corp., is the parent company of the subsidiary companies in the non-utility businesses, except AJT Mining Properties, Inc., which is a subsidiary of AERC. See Note 14 for business segment information.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condensed consolidated financial statements include the assets, liabilities, revenues and expenses of the Company and its subsidiaries and other majority owned subsidiaries and variable interest entities for which the Company or its subsidiaries are the primary beneficiaries. Intercompany balances are eliminated in consolidation. The accompanying condensed consolidated financial statements include the Company’s proportionate share of utility plant and related operations associated with its interests in jointly owned plants.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Regulation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state regulation in Washington, Idaho, Montana, Oregon and Alaska. The Company is subject to federal regulation primarily by the FERC, as well as various other federal agencies with regulatory oversight of particular aspects of its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Derivative Assets and Liabilities</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Derivatives are recorded as either assets or liabilities on the Condensed Consolidated Balance Sheets measured at estimated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WUTC and the IPUC issued accounting orders authorizing Avista Corp. to offset energy commodity derivative assets or liabilities with a regulatory liability or asset. This accounting treatment is intended to defer the recognition of mark-to-market gains and losses on energy commodity transactions until the period of delivery. Realized benefits and costs result in adjustments to retail rates through PGAs, the ERM in Washington, the PCA mechanism in Idaho, and periodic general rate cases. The resulting regulatory assets associated with energy commodity derivative instruments are probable of recovery through future rates.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Substantially all forward contracts to purchase or sell power and natural gas are recorded as derivative assets or liabilities at estimated fair value with an offsetting regulatory liability or asset. Contracts not considered derivatives are accounted for on the accrual basis until they are settled or realized unless there is a decline in the fair value of the contract determined to be other-than-temporary.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interest rate swap transactions Avista Corp. records all mark-to-market gains and losses in each accounting period as assets and liabilities, as well as offsetting regulatory liabilities or assets, such that there is no impact on the income statement. The interest rate swap derivatives are risk management tools similar to energy commodity derivatives. Upon settlement of interest rate swap derivatives, the regulatory asset or liability is amortized as a component of interest expense over the term of the associated debt. The Company records an offset of interest rate swap derivative assets and liabilities with regulatory assets and liabilities, based on the prior practice of the commissions to provide recovery through the ratemaking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multiple master agreements with a variety of entities allowing for cross-commodity netting of derivative agreements with the same counterparty (e.g. power derivatives can be netted with natural gas derivatives under certain conditions). In addition, some master agreements allow for the netting of commodity derivatives and interest rate swap derivatives for the same counterparty. The Company does not have agreements which allow for cross-affiliate netting among multiple affiliated legal entities. The Company nets all derivative instruments when allowed by the agreement for presentation in the Condensed Consolidated Balance Sheets.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Fair value represents the price that would be received when selling an asset or paid to transfer a liability (an exit price) in an orderly transaction between market participants at the measurement date. Derivative assets and liabilities, deferred compensation assets, and some equity investments are reported at estimated fair value on the Condensed Consolidated Balance Sheets. See Note 10 for the Company’s fair value disclosures.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unresolved regulatory, legal and tax issues which have inherently uncertain outcomes. The Company accrues a loss contingency if it is probable that a liability has been incurred and the amount of the loss or impairment can be reasonably estimated. The Company also discloses loss contingencies that do not meet these conditions for accrual if there is a reasonable possibility that a material loss may be incurred. See Note 13 for further discussion of the Company's commitments and contingencies.</w:t>
      </w:r>
    </w:p>
    <w:p>
      <w:pPr>
        <w:pStyle w:val="TextBody"/>
        <w:bidi w:val="0"/>
        <w:spacing w:before="240" w:after="283"/>
        <w:jc w:val="left"/>
        <w:rPr>
          <w:rFonts w:ascii="Times New Roman" w:hAnsi="Times New Roman"/>
          <w:b/>
          <w:color w:val="000000"/>
          <w:sz w:val="20"/>
        </w:rPr>
      </w:pPr>
      <w:bookmarkStart w:id="14" w:name="note_2_new_accounting_stards"/>
      <w:bookmarkEnd w:id="14"/>
      <w:r>
        <w:rPr>
          <w:rFonts w:ascii="Times New Roman" w:hAnsi="Times New Roman"/>
          <w:b/>
          <w:color w:val="000000"/>
          <w:sz w:val="20"/>
        </w:rPr>
        <w:t>NOTE 2. NEW ACCOUNTING STANDARDS</w:t>
      </w:r>
    </w:p>
    <w:p>
      <w:pPr>
        <w:pStyle w:val="TextBody"/>
        <w:bidi w:val="0"/>
        <w:spacing w:before="100" w:after="283"/>
        <w:jc w:val="left"/>
        <w:rPr>
          <w:rFonts w:ascii="Times New Roman" w:hAnsi="Times New Roman"/>
          <w:i/>
          <w:color w:val="000000"/>
          <w:sz w:val="20"/>
        </w:rPr>
      </w:pPr>
      <w:r>
        <w:rPr>
          <w:rFonts w:ascii="Times New Roman" w:hAnsi="Times New Roman"/>
          <w:i/>
          <w:color w:val="000000"/>
          <w:sz w:val="20"/>
        </w:rPr>
        <w:t>ASU 2023-06 "Disclosure Improvements - Codification Amendments in Response to the SEC's Disclosure Update and Simplification Initiative"</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In October 2023, the FASB issued ASU 2023-06, which incorporates a variety of SEC required disclosures into the FASB Accounting Standards Codification (ASC). For entities subject to SEC's existing disclosure requirements, the effective date for each amendment will be the date on which the SEC removes the related disclosure from Regulation S-X or Regulation S-K, with early adoption permitted. If the SEC has not removed the applicable requirement from Regulation S-X or Regulation S-K by June 30, 2027, the disclosure requirements will be removed from the Codification. The requirements of the ASU will not have a material impact on the Company's financial statements. </w:t>
      </w:r>
    </w:p>
    <w:p>
      <w:pPr>
        <w:pStyle w:val="TextBody"/>
        <w:bidi w:val="0"/>
        <w:spacing w:before="100" w:after="283"/>
        <w:jc w:val="left"/>
        <w:rPr>
          <w:rFonts w:ascii="Times New Roman" w:hAnsi="Times New Roman"/>
          <w:i/>
          <w:color w:val="000000"/>
          <w:sz w:val="20"/>
        </w:rPr>
      </w:pPr>
      <w:r>
        <w:rPr>
          <w:rFonts w:ascii="Times New Roman" w:hAnsi="Times New Roman"/>
          <w:i/>
          <w:color w:val="000000"/>
          <w:sz w:val="20"/>
        </w:rPr>
        <w:t>ASU 2024-03 "Disaggregation of Income Statement Expenses"</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In November 2024, the FASB issued ASU 2024-03, requiring additional footnote disclosures disaggregating certain expenses included on the income statement. The ASU is effective for annual reporting periods beginning after December 15, 2026 and interim reporting periods beginning after December 15, 2027, and early adoption is permitted. The Company is in the process of evaluating the impact of the ASU; however, it has determined it will not early adopt in 2026.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00" w:after="283"/>
        <w:jc w:val="left"/>
        <w:rPr>
          <w:rFonts w:ascii="Times New Roman" w:hAnsi="Times New Roman"/>
          <w:i/>
          <w:color w:val="000000"/>
          <w:sz w:val="20"/>
        </w:rPr>
      </w:pPr>
      <w:r>
        <w:rPr>
          <w:rFonts w:ascii="Times New Roman" w:hAnsi="Times New Roman"/>
          <w:i/>
          <w:color w:val="000000"/>
          <w:sz w:val="20"/>
        </w:rPr>
        <w:t>ASU 2025-05 "Measurement of Credit Losses for Accounts Receivable and Contract Assets"</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In July 2025, the FASB issued ASU 2025-05, providing a practical expedient that may be elected to assume current conditions as of the balance sheet date will remain unchanged for the remaining life of the receivable when developing an estimate of expected credit losses on accounts receivable arising from contracts with customers. The ASU is effective for annual reporting periods beginning after December 15, 2025 and interim reporting periods within those annual periods, and early adoption is permitted. The Company elected to utilize the practical expedient, effective January 1, 2026, which did not have a material impact on the financial statements. </w:t>
      </w:r>
    </w:p>
    <w:p>
      <w:pPr>
        <w:pStyle w:val="TextBody"/>
        <w:bidi w:val="0"/>
        <w:spacing w:before="100" w:after="283"/>
        <w:jc w:val="left"/>
        <w:rPr>
          <w:rFonts w:ascii="Times New Roman" w:hAnsi="Times New Roman"/>
          <w:i/>
          <w:color w:val="000000"/>
          <w:sz w:val="20"/>
        </w:rPr>
      </w:pPr>
      <w:r>
        <w:rPr>
          <w:rFonts w:ascii="Times New Roman" w:hAnsi="Times New Roman"/>
          <w:i/>
          <w:color w:val="000000"/>
          <w:sz w:val="20"/>
        </w:rPr>
        <w:t>ASU 2025-06 "Targeted Improvements to the Accounting for Internal-Use Software"</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In September 2025, the FASB issued ASU 2025-06, which updates the capitalization criteria for internally developed software projects. The ASU is effective for annual reporting periods beginning after December 15, 2027 and interim reporting periods within those annual periods, and early adoption is permitted. The Company is in the process of evaluating the impact of the ASU; however, it has determined it will not early adopt in 2026. </w:t>
      </w:r>
    </w:p>
    <w:p>
      <w:pPr>
        <w:pStyle w:val="TextBody"/>
        <w:bidi w:val="0"/>
        <w:spacing w:before="100" w:after="283"/>
        <w:jc w:val="left"/>
        <w:rPr>
          <w:rFonts w:ascii="Times New Roman" w:hAnsi="Times New Roman"/>
          <w:i/>
          <w:color w:val="000000"/>
          <w:sz w:val="20"/>
        </w:rPr>
      </w:pPr>
      <w:r>
        <w:rPr>
          <w:rFonts w:ascii="Times New Roman" w:hAnsi="Times New Roman"/>
          <w:i/>
          <w:color w:val="000000"/>
          <w:sz w:val="20"/>
        </w:rPr>
        <w:t>ASU 2025-10 "Accounting for Government Grants Received by Business Entities"</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In December 2025, the FASB issued ASU 2025-10, which establishes authoritative accounting guidance for government grants received by a business entity. The ASU is effective for annual reporting periods beginning after December 15, 2028 and interim reporting periods within those annual periods, and early adoption is permitted. The Company is in the process of evaluating the impact of the ASU; however, it has determined it will not early adopt in 2026.</w:t>
      </w:r>
    </w:p>
    <w:p>
      <w:pPr>
        <w:pStyle w:val="TextBody"/>
        <w:bidi w:val="0"/>
        <w:spacing w:before="240" w:after="283"/>
        <w:jc w:val="left"/>
        <w:rPr>
          <w:rFonts w:ascii="Times New Roman" w:hAnsi="Times New Roman"/>
          <w:b/>
          <w:color w:val="000000"/>
          <w:sz w:val="20"/>
        </w:rPr>
      </w:pPr>
      <w:bookmarkStart w:id="15" w:name="note_3_balance_sheet_components"/>
      <w:bookmarkEnd w:id="15"/>
      <w:r>
        <w:rPr>
          <w:rFonts w:ascii="Times New Roman" w:hAnsi="Times New Roman"/>
          <w:b/>
          <w:color w:val="000000"/>
          <w:sz w:val="20"/>
        </w:rPr>
        <w:t>NOTE 3. BALANCE SHEET COMPONENTS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Inventory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Inventories of materials and supplies, emission allowances, stored natural gas, and fuel stock are recorded at average cost and consisted of the following as of March 31, 2026 and December 31, 2025 (dollars in millions):</w:t>
      </w:r>
    </w:p>
    <w:tbl>
      <w:tblPr>
        <w:tblW w:w="4685" w:type="dxa"/>
        <w:jc w:val="left"/>
        <w:tblInd w:w="0" w:type="dxa"/>
        <w:tblLayout w:type="fixed"/>
        <w:tblCellMar>
          <w:top w:w="28" w:type="dxa"/>
          <w:left w:w="28" w:type="dxa"/>
          <w:bottom w:w="28" w:type="dxa"/>
          <w:right w:w="28" w:type="dxa"/>
        </w:tblCellMar>
      </w:tblPr>
      <w:tblGrid>
        <w:gridCol w:w="1951"/>
        <w:gridCol w:w="146"/>
        <w:gridCol w:w="275"/>
        <w:gridCol w:w="550"/>
        <w:gridCol w:w="146"/>
        <w:gridCol w:w="146"/>
        <w:gridCol w:w="359"/>
        <w:gridCol w:w="721"/>
        <w:gridCol w:w="3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Materials and 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Emission allowances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Stored natural gas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Fuel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Current Assets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Other current assets consisted of the following as of March 31, 2026 and December 31, 2025 (dollars in millions):</w:t>
      </w:r>
    </w:p>
    <w:tbl>
      <w:tblPr>
        <w:tblW w:w="5540" w:type="dxa"/>
        <w:jc w:val="left"/>
        <w:tblInd w:w="0" w:type="dxa"/>
        <w:tblLayout w:type="fixed"/>
        <w:tblCellMar>
          <w:top w:w="28" w:type="dxa"/>
          <w:left w:w="28" w:type="dxa"/>
          <w:bottom w:w="28" w:type="dxa"/>
          <w:right w:w="28" w:type="dxa"/>
        </w:tblCellMar>
      </w:tblPr>
      <w:tblGrid>
        <w:gridCol w:w="2806"/>
        <w:gridCol w:w="146"/>
        <w:gridCol w:w="329"/>
        <w:gridCol w:w="496"/>
        <w:gridCol w:w="146"/>
        <w:gridCol w:w="146"/>
        <w:gridCol w:w="359"/>
        <w:gridCol w:w="721"/>
        <w:gridCol w:w="3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assets net of collateral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Net Utility Property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Net utility property, which is recorded at original cost, net of accumulated depreciation, consisted of the following as of March 31, 2026 and December 31, 2025 (dollars in millions):</w:t>
      </w:r>
    </w:p>
    <w:tbl>
      <w:tblPr>
        <w:tblW w:w="6890" w:type="dxa"/>
        <w:jc w:val="left"/>
        <w:tblInd w:w="0" w:type="dxa"/>
        <w:tblLayout w:type="fixed"/>
        <w:tblCellMar>
          <w:top w:w="28" w:type="dxa"/>
          <w:left w:w="28" w:type="dxa"/>
          <w:bottom w:w="28" w:type="dxa"/>
          <w:right w:w="28" w:type="dxa"/>
        </w:tblCellMar>
      </w:tblPr>
      <w:tblGrid>
        <w:gridCol w:w="4156"/>
        <w:gridCol w:w="146"/>
        <w:gridCol w:w="222"/>
        <w:gridCol w:w="603"/>
        <w:gridCol w:w="146"/>
        <w:gridCol w:w="146"/>
        <w:gridCol w:w="290"/>
        <w:gridCol w:w="790"/>
        <w:gridCol w:w="39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Utility plant in 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work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Property and Investments-Net and Other Non-Current Assets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Other property and investments-net and other non-current assets consisted of the following as of March 31, 2026 and December 31, 2025 (dollars in millions):</w:t>
      </w:r>
    </w:p>
    <w:tbl>
      <w:tblPr>
        <w:tblW w:w="5345" w:type="dxa"/>
        <w:jc w:val="left"/>
        <w:tblInd w:w="0" w:type="dxa"/>
        <w:tblLayout w:type="fixed"/>
        <w:tblCellMar>
          <w:top w:w="28" w:type="dxa"/>
          <w:left w:w="28" w:type="dxa"/>
          <w:bottom w:w="28" w:type="dxa"/>
          <w:right w:w="28" w:type="dxa"/>
        </w:tblCellMar>
      </w:tblPr>
      <w:tblGrid>
        <w:gridCol w:w="2611"/>
        <w:gridCol w:w="146"/>
        <w:gridCol w:w="275"/>
        <w:gridCol w:w="550"/>
        <w:gridCol w:w="146"/>
        <w:gridCol w:w="146"/>
        <w:gridCol w:w="359"/>
        <w:gridCol w:w="721"/>
        <w:gridCol w:w="39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ROU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ROU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Non-utility property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prepaid license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Pension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affiliated trust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Current Liabilities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Other current liabilities consisted of the following as of March 31, 2026 and December 31, 2025 (dollars in millions):</w:t>
      </w:r>
    </w:p>
    <w:tbl>
      <w:tblPr>
        <w:tblW w:w="6290" w:type="dxa"/>
        <w:jc w:val="left"/>
        <w:tblInd w:w="0" w:type="dxa"/>
        <w:tblLayout w:type="fixed"/>
        <w:tblCellMar>
          <w:top w:w="28" w:type="dxa"/>
          <w:left w:w="28" w:type="dxa"/>
          <w:bottom w:w="28" w:type="dxa"/>
          <w:right w:w="28" w:type="dxa"/>
        </w:tblCellMar>
      </w:tblPr>
      <w:tblGrid>
        <w:gridCol w:w="3556"/>
        <w:gridCol w:w="146"/>
        <w:gridCol w:w="275"/>
        <w:gridCol w:w="550"/>
        <w:gridCol w:w="146"/>
        <w:gridCol w:w="146"/>
        <w:gridCol w:w="359"/>
        <w:gridCol w:w="721"/>
        <w:gridCol w:w="39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taxes other than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paid time off accruals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Pensions and other postretirement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Non-Current Liabilities and Deferred Credits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Other non-current liabilities and deferred credits consisted of the following as of March 31, 2026 and December 31, 2025 (dollars in millions):</w:t>
      </w:r>
    </w:p>
    <w:tbl>
      <w:tblPr>
        <w:tblW w:w="5915" w:type="dxa"/>
        <w:jc w:val="left"/>
        <w:tblInd w:w="0" w:type="dxa"/>
        <w:tblLayout w:type="fixed"/>
        <w:tblCellMar>
          <w:top w:w="28" w:type="dxa"/>
          <w:left w:w="28" w:type="dxa"/>
          <w:bottom w:w="28" w:type="dxa"/>
          <w:right w:w="28" w:type="dxa"/>
        </w:tblCellMar>
      </w:tblPr>
      <w:tblGrid>
        <w:gridCol w:w="3181"/>
        <w:gridCol w:w="146"/>
        <w:gridCol w:w="275"/>
        <w:gridCol w:w="550"/>
        <w:gridCol w:w="146"/>
        <w:gridCol w:w="146"/>
        <w:gridCol w:w="359"/>
        <w:gridCol w:w="721"/>
        <w:gridCol w:w="3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investment 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Climate Commitment Act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retirement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Regulatory Assets and Liabilities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Regulatory assets and liabilities consisted of the following as of March 31, 2026 and December 31, 2025 (dollars in millions):</w:t>
      </w:r>
    </w:p>
    <w:tbl>
      <w:tblPr>
        <w:tblW w:w="8545" w:type="dxa"/>
        <w:jc w:val="left"/>
        <w:tblInd w:w="0" w:type="dxa"/>
        <w:tblLayout w:type="fixed"/>
        <w:tblCellMar>
          <w:top w:w="28" w:type="dxa"/>
          <w:left w:w="28" w:type="dxa"/>
          <w:bottom w:w="28" w:type="dxa"/>
          <w:right w:w="28" w:type="dxa"/>
        </w:tblCellMar>
      </w:tblPr>
      <w:tblGrid>
        <w:gridCol w:w="3886"/>
        <w:gridCol w:w="146"/>
        <w:gridCol w:w="211"/>
        <w:gridCol w:w="421"/>
        <w:gridCol w:w="146"/>
        <w:gridCol w:w="146"/>
        <w:gridCol w:w="330"/>
        <w:gridCol w:w="661"/>
        <w:gridCol w:w="146"/>
        <w:gridCol w:w="146"/>
        <w:gridCol w:w="211"/>
        <w:gridCol w:w="421"/>
        <w:gridCol w:w="146"/>
        <w:gridCol w:w="146"/>
        <w:gridCol w:w="330"/>
        <w:gridCol w:w="661"/>
        <w:gridCol w:w="3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Current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Non-Current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Current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Non-Current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Regulatory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Energy commodity 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Climate Commitment Act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power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Decoupling surcharge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repurchase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related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Pension and other postretirement benefit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AFUDC above FERC allowed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 with Coeur d'Alene Tribe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Advanced meter infrastructure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Utility plant abandoned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Demand side management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Colstrip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Wildfire resiliency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 deferrals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regulatory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regulatory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Regulatory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tax related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Excess 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Climate Commitment Act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power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natural gas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Decoupling rebate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Utility plant retirement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rate refund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regulatory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regulatory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6" w:name="note_4_revenue"/>
      <w:bookmarkEnd w:id="16"/>
      <w:r>
        <w:rPr>
          <w:rFonts w:ascii="Times New Roman" w:hAnsi="Times New Roman"/>
          <w:b/>
          <w:color w:val="000000"/>
          <w:sz w:val="20"/>
        </w:rPr>
        <w:t>NOTE 4. REVENUE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Disaggregation of Total Operating Revenue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disaggregates total operating revenue by segment and source for the three months ended March 31 (dollars in millions):</w:t>
      </w:r>
    </w:p>
    <w:tbl>
      <w:tblPr>
        <w:tblW w:w="7379" w:type="dxa"/>
        <w:jc w:val="left"/>
        <w:tblInd w:w="0" w:type="dxa"/>
        <w:tblLayout w:type="fixed"/>
        <w:tblCellMar>
          <w:top w:w="28" w:type="dxa"/>
          <w:left w:w="28" w:type="dxa"/>
          <w:bottom w:w="28" w:type="dxa"/>
          <w:right w:w="28" w:type="dxa"/>
        </w:tblCellMar>
      </w:tblPr>
      <w:tblGrid>
        <w:gridCol w:w="4866"/>
        <w:gridCol w:w="146"/>
        <w:gridCol w:w="211"/>
        <w:gridCol w:w="421"/>
        <w:gridCol w:w="166"/>
        <w:gridCol w:w="146"/>
        <w:gridCol w:w="211"/>
        <w:gridCol w:w="421"/>
        <w:gridCol w:w="791"/>
      </w:tblGrid>
      <w:tr>
        <w:trPr/>
        <w:tc>
          <w:tcPr>
            <w:tcW w:w="4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Avista Utilities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Revenue from contracts with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Derivative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Alternative revenue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Deferrals and amortizations for rate refunds to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utility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Avista Utilities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AEL&amp;P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Revenue from contracts with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7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Utility Revenue from Contracts with Customers by Type and Service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disaggregates revenue from contracts with customers associated with the Company's electric operations for the three months ended March 31 (dollars in millions):</w:t>
      </w:r>
    </w:p>
    <w:tbl>
      <w:tblPr>
        <w:tblW w:w="9174" w:type="dxa"/>
        <w:jc w:val="left"/>
        <w:tblInd w:w="0" w:type="dxa"/>
        <w:tblLayout w:type="fixed"/>
        <w:tblCellMar>
          <w:top w:w="28" w:type="dxa"/>
          <w:left w:w="28" w:type="dxa"/>
          <w:bottom w:w="28" w:type="dxa"/>
          <w:right w:w="28" w:type="dxa"/>
        </w:tblCellMar>
      </w:tblPr>
      <w:tblGrid>
        <w:gridCol w:w="3071"/>
        <w:gridCol w:w="146"/>
        <w:gridCol w:w="200"/>
        <w:gridCol w:w="386"/>
        <w:gridCol w:w="146"/>
        <w:gridCol w:w="146"/>
        <w:gridCol w:w="196"/>
        <w:gridCol w:w="346"/>
        <w:gridCol w:w="146"/>
        <w:gridCol w:w="146"/>
        <w:gridCol w:w="283"/>
        <w:gridCol w:w="542"/>
        <w:gridCol w:w="146"/>
        <w:gridCol w:w="146"/>
        <w:gridCol w:w="200"/>
        <w:gridCol w:w="386"/>
        <w:gridCol w:w="146"/>
        <w:gridCol w:w="146"/>
        <w:gridCol w:w="196"/>
        <w:gridCol w:w="346"/>
        <w:gridCol w:w="146"/>
        <w:gridCol w:w="146"/>
        <w:gridCol w:w="283"/>
        <w:gridCol w:w="542"/>
        <w:gridCol w:w="591"/>
      </w:tblGrid>
      <w:tr>
        <w:trPr/>
        <w:tc>
          <w:tcPr>
            <w:tcW w:w="3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3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Avista</w:t>
              <w:br/>
              <w:t>Utilities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AEL&amp;P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Total Utility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Avista</w:t>
              <w:br/>
              <w:t>Utilities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AEL&amp;P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Total Utility</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ELECTRIC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 from contracts with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Residential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Commercial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Industrial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Public street and highway lighting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retail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Transmission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revenue from contracts with</w:t>
              <w:br/>
              <w:t>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electric revenue from contracts</w:t>
              <w:br/>
              <w:t>   with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disaggregates revenue from contracts with customers associated with the Company's natural gas operations for the three months ended March 31 (dollars in millions): </w:t>
      </w:r>
    </w:p>
    <w:tbl>
      <w:tblPr>
        <w:tblW w:w="7415" w:type="dxa"/>
        <w:jc w:val="left"/>
        <w:tblInd w:w="0" w:type="dxa"/>
        <w:tblLayout w:type="fixed"/>
        <w:tblCellMar>
          <w:top w:w="28" w:type="dxa"/>
          <w:left w:w="28" w:type="dxa"/>
          <w:bottom w:w="28" w:type="dxa"/>
          <w:right w:w="28" w:type="dxa"/>
        </w:tblCellMar>
      </w:tblPr>
      <w:tblGrid>
        <w:gridCol w:w="4406"/>
        <w:gridCol w:w="146"/>
        <w:gridCol w:w="338"/>
        <w:gridCol w:w="652"/>
        <w:gridCol w:w="146"/>
        <w:gridCol w:w="146"/>
        <w:gridCol w:w="338"/>
        <w:gridCol w:w="652"/>
        <w:gridCol w:w="591"/>
      </w:tblGrid>
      <w:tr>
        <w:trPr/>
        <w:tc>
          <w:tcPr>
            <w:tcW w:w="4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Avista Utilities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Avista Utilities</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NATURAL GAS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 from contracts with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Residential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Commercial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Industrial and interruptible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retail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Transportation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revenue from contracts with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natural gas revenue from contracts with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Unsatisfied Performance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certain capacity arrangements under which the Company has a contractual obligation to provide either electric or natural gas capacity to a customer for a fixed fee. Most of these arrangements are paid for in arrears by the customers and do not result in deferred revenue and only result in receivables from the customers. The Company has one capacity agreement under which the customer makes payments throughout the year. As of March 31, 2026, the Company estimates it had unsatisfied capacity performance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obligations of $22 million, which will be recognized as revenue in future periods as the capacity is provided to the customers. These performance obligations are not reflected in the financial statements, as the Company has not received payment for these services.</w:t>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7" w:name="note_5_derivatives_risk_management"/>
      <w:bookmarkEnd w:id="17"/>
      <w:r>
        <w:rPr>
          <w:rFonts w:ascii="Times New Roman" w:hAnsi="Times New Roman"/>
          <w:b/>
          <w:color w:val="000000"/>
          <w:sz w:val="20"/>
        </w:rPr>
        <w:t>NOTE 5. DERIVATIVES AND RISK MANAGEMENT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Energy Commodity Derivatives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Avista Corp. is exposed to market risks relating to changes in electricity and natural gas commodity prices and certain other fuel prices. Market risk is, in general, the risk of fluctuation in the market price of the commodity being traded and is influenced primarily by supply and demand. Market risk includes the fluctuation in the market price of associated commodity derivative instruments. Avista Corp. utilizes instruments that meet the definition of a derivative under U.S. GAAP, such as forwards, futures, swaps and options, to manage the various risks relating to these commodity price exposures. Avista Corp. has an energy resources risk policy and control procedures to manage these risks.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Avista Corp.'s resource procurement and management operations in the electric business, Avista Corp. engages in an ongoing process of resource optimization, which involves the economic selection from available energy resources to serve Avista Corp.'s load obligations and the use of these resources to capture available economic value through wholesale market transactions. These include sales and purchases of electric capacity and energy, fuel for electric generation, and derivative contracts related to capacity, energy and fuel. Such transactions are part of the process of matching resources with load obligations and hedging a portion of the related financial risks. These transactions range from terms of intra-hour periods up to multiple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its resource procurement and management of its natural gas business, Avista Corp. makes continuing projections of its natural gas loads and assesses available natural gas resources including natural gas storage availability. Natural gas resource planning typically includes peak requirements, low and average monthly requirements and delivery constraints from natural gas supply locations to Avista Corp.’s distribution system. However, daily variations in natural gas demand can be significantly different than monthly demand projections. Based on these projections, Avista Corp. plans and executes a series of transactions to hedge a portion of its projected natural gas requirements through forward market transactions and derivative instruments. These transactions may extend as much as three natural gas operating years (November through October) into the future. Avista Corp. also leaves a significant portion of its natural gas supply requirements unhedged for purchase in short-term and spot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Avista Corp. plans for sufficient natural gas delivery capacity to serve its retail customers for a theoretical peak-day event. Avista Corp. generally has more pipeline and storage capacity than is needed during periods other than a peak-day. Avista Corp. optimizes its natural gas resources by using market opportunities to generate economic value that mitigates the fixed costs. Avista Corp. also optimizes its natural gas storage capacity by purchasing and storing natural gas when prices are traditionally lower, typically in the summer, and withdrawing during higher priced months, typically during the winter. However, if market conditions and prices indicate that Avista Corp. should buy or sell natural gas at other times during the year, Avista Corp. engages in optimization transactions to capture value in the marketplace. Natural gas optimization activities include, but are not limited to, wholesale market sales of surplus natural gas supplies, purchases and sales of natural gas to optimize use of pipeline and storage capacity, and participation in the transportation capacity release market.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underlying energy commodity derivative volumes as of March 31, 2026 expected to be settled in each respective year (in thousands of MWhs and mmBTUs):</w:t>
      </w:r>
    </w:p>
    <w:tbl>
      <w:tblPr>
        <w:tblW w:w="9898" w:type="dxa"/>
        <w:jc w:val="left"/>
        <w:tblInd w:w="0" w:type="dxa"/>
        <w:tblLayout w:type="fixed"/>
        <w:tblCellMar>
          <w:top w:w="28" w:type="dxa"/>
          <w:left w:w="28" w:type="dxa"/>
          <w:bottom w:w="28" w:type="dxa"/>
          <w:right w:w="28" w:type="dxa"/>
        </w:tblCellMar>
      </w:tblPr>
      <w:tblGrid>
        <w:gridCol w:w="1471"/>
        <w:gridCol w:w="146"/>
        <w:gridCol w:w="200"/>
        <w:gridCol w:w="476"/>
        <w:gridCol w:w="166"/>
        <w:gridCol w:w="166"/>
        <w:gridCol w:w="218"/>
        <w:gridCol w:w="518"/>
        <w:gridCol w:w="146"/>
        <w:gridCol w:w="146"/>
        <w:gridCol w:w="146"/>
        <w:gridCol w:w="676"/>
        <w:gridCol w:w="146"/>
        <w:gridCol w:w="146"/>
        <w:gridCol w:w="146"/>
        <w:gridCol w:w="676"/>
        <w:gridCol w:w="146"/>
        <w:gridCol w:w="146"/>
        <w:gridCol w:w="174"/>
        <w:gridCol w:w="502"/>
        <w:gridCol w:w="149"/>
        <w:gridCol w:w="149"/>
        <w:gridCol w:w="189"/>
        <w:gridCol w:w="547"/>
        <w:gridCol w:w="146"/>
        <w:gridCol w:w="146"/>
        <w:gridCol w:w="155"/>
        <w:gridCol w:w="611"/>
        <w:gridCol w:w="146"/>
        <w:gridCol w:w="146"/>
        <w:gridCol w:w="227"/>
        <w:gridCol w:w="539"/>
        <w:gridCol w:w="191"/>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Purchases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2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Sales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Electric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Gas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Electric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Gas Derivatives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Physical</w:t>
              <w:br/>
              <w:t>(1)</w:t>
              <w:br/>
              <w:t>MWh</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Financial</w:t>
              <w:br/>
              <w:t>(1)</w:t>
              <w:br/>
              <w:t>MWh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Physical</w:t>
              <w:br/>
              <w:t>(1)</w:t>
              <w:br/>
              <w:t>mmBTUs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Financial</w:t>
              <w:br/>
              <w:t>(1)</w:t>
              <w:br/>
              <w:t>mmBTUs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Physical</w:t>
              <w:br/>
              <w:t>(1)</w:t>
              <w:br/>
              <w:t>MWh</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Financial</w:t>
              <w:br/>
              <w:t>(1)</w:t>
              <w:br/>
              <w:t>MWh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Physical</w:t>
              <w:br/>
              <w:t>(1)</w:t>
              <w:br/>
              <w:t>mmBTUs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Financial</w:t>
              <w:br/>
              <w:t>(1)</w:t>
              <w:br/>
              <w:t>mmBTUs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there are no energy commodity derivative contracts outstanding with expected settlements after 2029.</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underlying energy commodity derivative volumes as of December 31, 2025 expected to be settled in each respective year (in thousands of MWhs and mmBTUs):</w:t>
      </w:r>
    </w:p>
    <w:tbl>
      <w:tblPr>
        <w:tblW w:w="8968" w:type="dxa"/>
        <w:jc w:val="left"/>
        <w:tblInd w:w="0" w:type="dxa"/>
        <w:tblLayout w:type="fixed"/>
        <w:tblCellMar>
          <w:top w:w="28" w:type="dxa"/>
          <w:left w:w="28" w:type="dxa"/>
          <w:bottom w:w="28" w:type="dxa"/>
          <w:right w:w="28" w:type="dxa"/>
        </w:tblCellMar>
      </w:tblPr>
      <w:tblGrid>
        <w:gridCol w:w="541"/>
        <w:gridCol w:w="146"/>
        <w:gridCol w:w="200"/>
        <w:gridCol w:w="476"/>
        <w:gridCol w:w="166"/>
        <w:gridCol w:w="166"/>
        <w:gridCol w:w="218"/>
        <w:gridCol w:w="518"/>
        <w:gridCol w:w="146"/>
        <w:gridCol w:w="146"/>
        <w:gridCol w:w="146"/>
        <w:gridCol w:w="676"/>
        <w:gridCol w:w="146"/>
        <w:gridCol w:w="146"/>
        <w:gridCol w:w="146"/>
        <w:gridCol w:w="676"/>
        <w:gridCol w:w="146"/>
        <w:gridCol w:w="146"/>
        <w:gridCol w:w="174"/>
        <w:gridCol w:w="502"/>
        <w:gridCol w:w="149"/>
        <w:gridCol w:w="149"/>
        <w:gridCol w:w="189"/>
        <w:gridCol w:w="547"/>
        <w:gridCol w:w="146"/>
        <w:gridCol w:w="146"/>
        <w:gridCol w:w="155"/>
        <w:gridCol w:w="611"/>
        <w:gridCol w:w="146"/>
        <w:gridCol w:w="146"/>
        <w:gridCol w:w="197"/>
        <w:gridCol w:w="569"/>
        <w:gridCol w:w="191"/>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Purchases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2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Sales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Electric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Gas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Electric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Gas Derivatives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Physical</w:t>
              <w:br/>
              <w:t>(1)</w:t>
              <w:br/>
              <w:t>MWh</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Financial</w:t>
              <w:br/>
              <w:t>(1)</w:t>
              <w:br/>
              <w:t>MWh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Physical</w:t>
              <w:br/>
              <w:t>(1)</w:t>
              <w:br/>
              <w:t>mmBTUs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Financial</w:t>
              <w:br/>
              <w:t>(1)</w:t>
              <w:br/>
              <w:t>mmBTUs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Physical</w:t>
              <w:br/>
              <w:t>(1)</w:t>
              <w:br/>
              <w:t>MWh</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Financial</w:t>
              <w:br/>
              <w:t>(1)</w:t>
              <w:br/>
              <w:t>MWh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Physical</w:t>
              <w:br/>
              <w:t>(1)</w:t>
              <w:br/>
              <w:t>mmBTUs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Financial</w:t>
              <w:br/>
              <w:t>(1)</w:t>
              <w:br/>
              <w:t>mmBTUs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there were no energy commodity derivative contracts outstanding with expected settlements after 2028.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Physical transactions represent commodity derivative transactions in which Avista Corp. will take or make delivery of either electricity or natural gas; financial transactions represent financial derivative instruments that are settled in cash with no physical delivery of the underlying commodity, such as futures, swaps, or options contracts.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electric and natural gas derivative contracts above will be included in either power supply costs or natural gas supply costs during the period they are scheduled to be delivered and will be included in the various deferral and recovery mechanisms (ERM, PCA and PGAs), or in the general rate case process, and are expected to be recovered through retail rates from customers.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Foreign Currency Exchange Derivatives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significant portion of Avista Corp.’s natural gas supply (including fuel for power generation) is obtained from Canadian sources. Most of those transactions are executed in U.S. dollars, which avoids foreign currency risk. A portion of Avista Corp.’s short-term natural gas transactions and long-term Canadian transportation contracts are committed based on Canadian currency prices. The short-term natural gas transactions are settled within 60 days with U.S. dollars. Avista Corp. hedges a portion of the foreign currency risk by purchasing Canadian currency exchange derivatives when such commodity transactions are initiated. The foreign currency exchange derivatives and the unhedged foreign currency risk have not had a material effect on Avista Corp.’s financial condition, results of operations or cash flows and these differences in cost related to currency fluctuations are included with natural gas supply costs for ratemaking.</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foreign currency exchange derivatives outstanding as of March 31, 2026 and December 31, 2025 (dollars in millions):</w:t>
      </w:r>
    </w:p>
    <w:tbl>
      <w:tblPr>
        <w:tblW w:w="6090" w:type="dxa"/>
        <w:jc w:val="left"/>
        <w:tblInd w:w="0" w:type="dxa"/>
        <w:tblLayout w:type="fixed"/>
        <w:tblCellMar>
          <w:top w:w="28" w:type="dxa"/>
          <w:left w:w="28" w:type="dxa"/>
          <w:bottom w:w="28" w:type="dxa"/>
          <w:right w:w="28" w:type="dxa"/>
        </w:tblCellMar>
      </w:tblPr>
      <w:tblGrid>
        <w:gridCol w:w="3556"/>
        <w:gridCol w:w="146"/>
        <w:gridCol w:w="329"/>
        <w:gridCol w:w="496"/>
        <w:gridCol w:w="146"/>
        <w:gridCol w:w="146"/>
        <w:gridCol w:w="431"/>
        <w:gridCol w:w="649"/>
        <w:gridCol w:w="19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Notional amount (in United States dollars)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Notional amount (in Canadian dollars)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Summary of Outstanding Derivative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amounts recorded on the Condensed Consolidated Balance Sheet as of March 31, 2026 and December 31, 2025 reflect the offsetting of derivative assets and liabilities where a legal right of offset exists.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fair values and locations of energy commodity derivative instruments recorded on the Condensed Consolidated Balance Sheet as of March 31, 2026 (dollars in millions):</w:t>
      </w:r>
    </w:p>
    <w:tbl>
      <w:tblPr>
        <w:tblW w:w="9368" w:type="dxa"/>
        <w:jc w:val="left"/>
        <w:tblInd w:w="0" w:type="dxa"/>
        <w:tblLayout w:type="fixed"/>
        <w:tblCellMar>
          <w:top w:w="28" w:type="dxa"/>
          <w:left w:w="28" w:type="dxa"/>
          <w:bottom w:w="28" w:type="dxa"/>
          <w:right w:w="28" w:type="dxa"/>
        </w:tblCellMar>
      </w:tblPr>
      <w:tblGrid>
        <w:gridCol w:w="5061"/>
        <w:gridCol w:w="146"/>
        <w:gridCol w:w="211"/>
        <w:gridCol w:w="316"/>
        <w:gridCol w:w="146"/>
        <w:gridCol w:w="146"/>
        <w:gridCol w:w="248"/>
        <w:gridCol w:w="443"/>
        <w:gridCol w:w="166"/>
        <w:gridCol w:w="146"/>
        <w:gridCol w:w="290"/>
        <w:gridCol w:w="476"/>
        <w:gridCol w:w="146"/>
        <w:gridCol w:w="146"/>
        <w:gridCol w:w="312"/>
        <w:gridCol w:w="558"/>
        <w:gridCol w:w="411"/>
      </w:tblGrid>
      <w:tr>
        <w:trPr/>
        <w:tc>
          <w:tcPr>
            <w:tcW w:w="5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Fair Value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Derivative and 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Gross</w:t>
              <w:br/>
              <w:t>Asset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Gross</w:t>
              <w:br/>
              <w:t>Liability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Collateral</w:t>
              <w:br/>
              <w:t>Netted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Net Asset</w:t>
              <w:br/>
              <w:t>(Liability)</w:t>
              <w:br/>
              <w:t>on Balance</w:t>
              <w:br/>
              <w:t>Sheet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 and deferred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derivative instruments recorded on the balance sheet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fair values and locations of derivative instruments recorded on the Condensed Consolidated Balance Sheet as of December 31, 2025 (dollars in millions):</w:t>
      </w:r>
    </w:p>
    <w:tbl>
      <w:tblPr>
        <w:tblW w:w="9413" w:type="dxa"/>
        <w:jc w:val="left"/>
        <w:tblInd w:w="0" w:type="dxa"/>
        <w:tblLayout w:type="fixed"/>
        <w:tblCellMar>
          <w:top w:w="28" w:type="dxa"/>
          <w:left w:w="28" w:type="dxa"/>
          <w:bottom w:w="28" w:type="dxa"/>
          <w:right w:w="28" w:type="dxa"/>
        </w:tblCellMar>
      </w:tblPr>
      <w:tblGrid>
        <w:gridCol w:w="5061"/>
        <w:gridCol w:w="146"/>
        <w:gridCol w:w="211"/>
        <w:gridCol w:w="316"/>
        <w:gridCol w:w="146"/>
        <w:gridCol w:w="146"/>
        <w:gridCol w:w="248"/>
        <w:gridCol w:w="443"/>
        <w:gridCol w:w="166"/>
        <w:gridCol w:w="146"/>
        <w:gridCol w:w="290"/>
        <w:gridCol w:w="476"/>
        <w:gridCol w:w="146"/>
        <w:gridCol w:w="146"/>
        <w:gridCol w:w="328"/>
        <w:gridCol w:w="587"/>
        <w:gridCol w:w="411"/>
      </w:tblGrid>
      <w:tr>
        <w:trPr/>
        <w:tc>
          <w:tcPr>
            <w:tcW w:w="5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Fair Value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Derivative and 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Gross</w:t>
              <w:br/>
              <w:t>Asset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Gross</w:t>
              <w:br/>
              <w:t>Liability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Collateral</w:t>
              <w:br/>
              <w:t>Netted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Net Asset</w:t>
              <w:br/>
              <w:t xml:space="preserve">(Liability) </w:t>
              <w:br/>
              <w:t xml:space="preserve">on Balance </w:t>
              <w:br/>
              <w:t>Sheet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 and deferred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derivative instruments recorded on the balance sheet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Exposure to Demands for Collateral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Avista Corp.'s derivative contracts often require collateral (in the form of cash or letters of credit) or other credit enhancements, or reductions or terminations of a portion of the contract through cash settlement. The following table presents collateral outstanding related to its energy commodity derivative instruments as of March 31, 2026 and December 31, 2025 (dollars in millions):</w:t>
      </w:r>
    </w:p>
    <w:tbl>
      <w:tblPr>
        <w:tblW w:w="4950" w:type="dxa"/>
        <w:jc w:val="left"/>
        <w:tblInd w:w="0" w:type="dxa"/>
        <w:tblLayout w:type="fixed"/>
        <w:tblCellMar>
          <w:top w:w="28" w:type="dxa"/>
          <w:left w:w="28" w:type="dxa"/>
          <w:bottom w:w="28" w:type="dxa"/>
          <w:right w:w="28" w:type="dxa"/>
        </w:tblCellMar>
      </w:tblPr>
      <w:tblGrid>
        <w:gridCol w:w="2416"/>
        <w:gridCol w:w="146"/>
        <w:gridCol w:w="329"/>
        <w:gridCol w:w="496"/>
        <w:gridCol w:w="146"/>
        <w:gridCol w:w="146"/>
        <w:gridCol w:w="431"/>
        <w:gridCol w:w="649"/>
        <w:gridCol w:w="19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collateral posted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Letters of credit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event of changes in market prices or a downgrade in Avista Corp.'s credit ratings (including maintaining "investment grade" credit rating) or other established credit criteria, or, in some cases, if the counterparty has reasonable grounds to believe that there has been a material change in Avista Corp.'s creditworthiness, additional collateral may be required. Counterparties could request immediate payment or demand immediate and ongoing collateralization on derivative instruments in net liability positions.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periods of price volatility, the level of exposure can change significantly. In addition, these contracts contain customary events of default (including cross-defaults to indebtedness and other obligations) and termination provisions. As a result, sudden and significant demands may be made against Avista Corp.'s credit facilities and cash. See Note 8 for further discussion of these credit facilities, including the immediate reimbursement obligation associated with outstanding letters of credit.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aggregate fair value of energy commodity derivative instruments with credit-risk-related contingent features in a liability position, and the amount of additional collateral (in cash or letters of credit) Avista Corp. could be required to post as of March 31, 2026 (dollars in millions):</w:t>
      </w:r>
    </w:p>
    <w:tbl>
      <w:tblPr>
        <w:tblW w:w="5618" w:type="dxa"/>
        <w:jc w:val="left"/>
        <w:tblInd w:w="0" w:type="dxa"/>
        <w:tblLayout w:type="fixed"/>
        <w:tblCellMar>
          <w:top w:w="28" w:type="dxa"/>
          <w:left w:w="28" w:type="dxa"/>
          <w:bottom w:w="28" w:type="dxa"/>
          <w:right w:w="28" w:type="dxa"/>
        </w:tblCellMar>
      </w:tblPr>
      <w:tblGrid>
        <w:gridCol w:w="4456"/>
        <w:gridCol w:w="146"/>
        <w:gridCol w:w="329"/>
        <w:gridCol w:w="496"/>
        <w:gridCol w:w="191"/>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with credit-risk-related contingent features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collateral to post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8" w:name="note_6_pension_plans_or_postretirement_b"/>
      <w:bookmarkEnd w:id="18"/>
      <w:r>
        <w:rPr>
          <w:rFonts w:ascii="Times New Roman" w:hAnsi="Times New Roman"/>
          <w:b/>
          <w:color w:val="000000"/>
          <w:sz w:val="20"/>
        </w:rPr>
        <w:t>NOTE 6. PENSION PLANS AND OTHER POSTRETIREMENT BENEFIT PLANS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Avista Utilities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contributed $3 million in cash to the pension plan during the three months ended March 31, 2026. The Company expects to contribute $10 million in total in 2026.</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uses a December 31 measurement date for its defined benefit pension and other postretirement benefit plans. The following table sets forth the components of net periodic benefit costs for the three months ended March 31 (dollars in millions):</w:t>
      </w:r>
    </w:p>
    <w:tbl>
      <w:tblPr>
        <w:tblW w:w="6946" w:type="dxa"/>
        <w:jc w:val="left"/>
        <w:tblInd w:w="0" w:type="dxa"/>
        <w:tblLayout w:type="fixed"/>
        <w:tblCellMar>
          <w:top w:w="28" w:type="dxa"/>
          <w:left w:w="28" w:type="dxa"/>
          <w:bottom w:w="28" w:type="dxa"/>
          <w:right w:w="28" w:type="dxa"/>
        </w:tblCellMar>
      </w:tblPr>
      <w:tblGrid>
        <w:gridCol w:w="2581"/>
        <w:gridCol w:w="146"/>
        <w:gridCol w:w="211"/>
        <w:gridCol w:w="376"/>
        <w:gridCol w:w="166"/>
        <w:gridCol w:w="146"/>
        <w:gridCol w:w="211"/>
        <w:gridCol w:w="376"/>
        <w:gridCol w:w="166"/>
        <w:gridCol w:w="146"/>
        <w:gridCol w:w="315"/>
        <w:gridCol w:w="517"/>
        <w:gridCol w:w="248"/>
        <w:gridCol w:w="218"/>
        <w:gridCol w:w="315"/>
        <w:gridCol w:w="517"/>
        <w:gridCol w:w="29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Pension Benefits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Other Postretirement Benefits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return on plan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recognition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periodic benefit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service costs in the table above are recorded to the same accounts as labor expense. Labor and benefits expense is recorded to various projects based on whether the work is a capital project or an operating expense. Approximately 45 percent of all labor and benefits is capitalized to utility property and 55 percent is expensed to utility other 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non-service portion of costs in the table above are recorded to other expense below income from operations in the Condensed Consolidated Statements of Income and Comprehensive Income or capitalized as a regulatory asset. Approximately 45 percent of the costs are capitalized to regulatory assets and 55 percent is expensed to the income statement.</w:t>
      </w:r>
    </w:p>
    <w:p>
      <w:pPr>
        <w:pStyle w:val="TextBody"/>
        <w:bidi w:val="0"/>
        <w:spacing w:before="240" w:after="283"/>
        <w:jc w:val="left"/>
        <w:rPr>
          <w:rFonts w:ascii="Times New Roman" w:hAnsi="Times New Roman"/>
          <w:b/>
          <w:color w:val="000000"/>
          <w:sz w:val="20"/>
        </w:rPr>
      </w:pPr>
      <w:bookmarkStart w:id="19" w:name="note_7_income_taxes"/>
      <w:bookmarkEnd w:id="19"/>
      <w:r>
        <w:rPr>
          <w:rFonts w:ascii="Times New Roman" w:hAnsi="Times New Roman"/>
          <w:b/>
          <w:color w:val="000000"/>
          <w:sz w:val="20"/>
        </w:rPr>
        <w:t>NOTE 7.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accordance with interim reporting requirements, the Company uses an estimated annual effective tax rate for computing its provisions for income taxes. An estimate of annual income tax expense (or benefit) is made each interim period using estimates for annual pre-tax income, income tax adjustments and tax credits. The estimated annual effective tax rates do not include discrete events such as tax law changes, examination settlements, accounting method changes or adjustments to tax expense or benefits attributable to prior years. Discrete events are recorded in the interim period in which they occur or become known. The estimated annual tax rate is applied to year-to-date pre-tax income to determine income tax expense (or benefit) for the interim period consistent with the annual estimate. In subsequent interim periods, income tax expense (or benefit) for the period is computed as the difference between the year-to-date amount reported for the previous interim period and the current period’s year-to-date amount.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reconciles the difference between the Company's effective tax rate and the federal statutory rate for the three months ended March 31 (dollars in millions):</w:t>
      </w:r>
    </w:p>
    <w:tbl>
      <w:tblPr>
        <w:tblW w:w="10205" w:type="dxa"/>
        <w:jc w:val="left"/>
        <w:tblInd w:w="0" w:type="dxa"/>
        <w:tblLayout w:type="fixed"/>
        <w:tblCellMar>
          <w:top w:w="28" w:type="dxa"/>
          <w:left w:w="28" w:type="dxa"/>
          <w:bottom w:w="28" w:type="dxa"/>
          <w:right w:w="28" w:type="dxa"/>
        </w:tblCellMar>
      </w:tblPr>
      <w:tblGrid>
        <w:gridCol w:w="5994"/>
        <w:gridCol w:w="146"/>
        <w:gridCol w:w="211"/>
        <w:gridCol w:w="421"/>
        <w:gridCol w:w="166"/>
        <w:gridCol w:w="146"/>
        <w:gridCol w:w="146"/>
        <w:gridCol w:w="466"/>
        <w:gridCol w:w="271"/>
        <w:gridCol w:w="146"/>
        <w:gridCol w:w="211"/>
        <w:gridCol w:w="346"/>
        <w:gridCol w:w="166"/>
        <w:gridCol w:w="146"/>
        <w:gridCol w:w="146"/>
        <w:gridCol w:w="466"/>
        <w:gridCol w:w="611"/>
      </w:tblGrid>
      <w:tr>
        <w:trPr/>
        <w:tc>
          <w:tcPr>
            <w:tcW w:w="59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9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continuing operations before 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federal statutory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taxes, net of federal income tax effect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Flow through related to deduction of meters and mixed service costs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Excess deferred tax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CARES Act tax benefit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general rate cases included approval of base rate increases, offset by tax customer credits. As the tax customer credits are returned to customers, this results in a decrease to income tax expense as a result of flowing through the benefits related to meters and mixed service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July 2025, the U.S. enacted a reconciliation bill commonly referred to as the One Big Beautiful Bill Act. The Company continues to analyze the tax and other effects of the reconciliation bill, and does not expect the provisions of the bill to have a material impact on financial results or its annual effective tax rate in 2026. </w:t>
      </w:r>
    </w:p>
    <w:p>
      <w:pPr>
        <w:pStyle w:val="TextBody"/>
        <w:bidi w:val="0"/>
        <w:spacing w:before="240" w:after="283"/>
        <w:jc w:val="left"/>
        <w:rPr>
          <w:rFonts w:ascii="Times New Roman" w:hAnsi="Times New Roman"/>
          <w:b/>
          <w:color w:val="000000"/>
          <w:sz w:val="20"/>
        </w:rPr>
      </w:pPr>
      <w:bookmarkStart w:id="20" w:name="note_8_committed_lines_credit"/>
      <w:bookmarkEnd w:id="20"/>
      <w:r>
        <w:rPr>
          <w:rFonts w:ascii="Times New Roman" w:hAnsi="Times New Roman"/>
          <w:b/>
          <w:color w:val="000000"/>
          <w:sz w:val="20"/>
        </w:rPr>
        <w:t>NOTE 8. SHORT-TERM BORROWINGS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Avista Corp.</w:t>
      </w:r>
    </w:p>
    <w:p>
      <w:pPr>
        <w:pStyle w:val="TextBody"/>
        <w:bidi w:val="0"/>
        <w:spacing w:before="100" w:after="283"/>
        <w:jc w:val="left"/>
        <w:rPr>
          <w:rFonts w:ascii="Times New Roman" w:hAnsi="Times New Roman"/>
          <w:i/>
          <w:color w:val="000000"/>
          <w:sz w:val="20"/>
        </w:rPr>
      </w:pPr>
      <w:r>
        <w:rPr>
          <w:rFonts w:ascii="Times New Roman" w:hAnsi="Times New Roman"/>
          <w:i/>
          <w:color w:val="000000"/>
          <w:sz w:val="20"/>
        </w:rPr>
        <w:t>Lines of Credit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Avista Corp. has a committed line of credit in the total amount of $500 million, with an expiration date of June 2029. The Company may request that the lenders extend their commitments for an additional one-year period (subject to customary conditions). The committed line of credit is secured by non-transferable first mortgage bonds of Avista Corp. issued to the agent bank that are payable only to the extent that Avista Corp. defaults on its obligations under the committed line of credit.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Balances outstanding and interest rates on borrowings (excluding letters of credit) under Avista Corp.’s revolving committed line of credit were as follows as of March 31, 2026 and December 31, 2025 (dollars in millions):</w:t>
      </w:r>
    </w:p>
    <w:tbl>
      <w:tblPr>
        <w:tblW w:w="7105" w:type="dxa"/>
        <w:jc w:val="left"/>
        <w:tblInd w:w="0" w:type="dxa"/>
        <w:tblLayout w:type="fixed"/>
        <w:tblCellMar>
          <w:top w:w="28" w:type="dxa"/>
          <w:left w:w="28" w:type="dxa"/>
          <w:bottom w:w="28" w:type="dxa"/>
          <w:right w:w="28" w:type="dxa"/>
        </w:tblCellMar>
      </w:tblPr>
      <w:tblGrid>
        <w:gridCol w:w="4321"/>
        <w:gridCol w:w="146"/>
        <w:gridCol w:w="257"/>
        <w:gridCol w:w="568"/>
        <w:gridCol w:w="271"/>
        <w:gridCol w:w="146"/>
        <w:gridCol w:w="335"/>
        <w:gridCol w:w="745"/>
        <w:gridCol w:w="316"/>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 outstanding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Letters of credit outstanding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interest rate on borrowings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00" w:after="283"/>
        <w:jc w:val="left"/>
        <w:rPr>
          <w:rFonts w:ascii="Times New Roman" w:hAnsi="Times New Roman"/>
          <w:i/>
          <w:color w:val="000000"/>
          <w:sz w:val="20"/>
        </w:rPr>
      </w:pPr>
      <w:r>
        <w:rPr>
          <w:rFonts w:ascii="Times New Roman" w:hAnsi="Times New Roman"/>
          <w:i/>
          <w:color w:val="000000"/>
          <w:sz w:val="20"/>
        </w:rPr>
        <w:t>Letter of Credit Facility</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Avista Corp. has a letter of credit agreement in the aggregate amount of $50 million. Either party may terminate the agreement at any time.</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Avista Corp. had $4 million and $14 million in letters of credit outstanding under this agreement as of March 31, 2026 and December 31, 2025, respectively. Letters of credit are not reflected on the Condensed Consolidated Balance Sheets. If a letter of credit were drawn upon by the holder, Avista Corp. would have an immediate obligation to reimburse the bank that issued the letter of credit. </w:t>
      </w:r>
    </w:p>
    <w:p>
      <w:pPr>
        <w:pStyle w:val="TextBody"/>
        <w:bidi w:val="0"/>
        <w:spacing w:before="100" w:after="283"/>
        <w:jc w:val="left"/>
        <w:rPr>
          <w:rFonts w:ascii="Times New Roman" w:hAnsi="Times New Roman"/>
          <w:i/>
          <w:color w:val="000000"/>
          <w:sz w:val="20"/>
        </w:rPr>
      </w:pPr>
      <w:r>
        <w:rPr>
          <w:rFonts w:ascii="Times New Roman" w:hAnsi="Times New Roman"/>
          <w:i/>
          <w:color w:val="000000"/>
          <w:sz w:val="20"/>
        </w:rPr>
        <w:t>Covenants and Default Provisions</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The short-term borrowing agreements contain customary covenants and default provisions, including a change in control (as defined in the agreements). The events of default under each of the credit facilities also include a cross default from other indebtedness (as defined) and, in the case of the letter of credit agreement, other obligations. The committed line of credit agreement also includes a covenant which does not permit the ratio of “consolidated total debt” to “consolidated total capitalization” of Avista Corp. to be greater than 65 percent at any time. As of March 31, 2026, the Company complied with this covenant.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AEL&amp;P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AEL&amp;P has a committed line of credit in the amount of $25 million that expires in June 2028. The committed line of credit is secured by non-transferable first mortgage bonds of AEL&amp;P issued to the agent bank that would only become due and payable in the event, and then only to the extent, that AEL&amp;P defaults on its obligations under the committed line of credit.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AEL&amp;P’s revolving committed line of credit had a balance of $3 million outstanding as of December 31, 2025, with an average interest rate of 5.33 percent. There were no borrowings outstanding under the agreement as of March 31, 2026.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committed line of credit agreement contains customary covenants and default provisions, including a cross default from other indebtedness (as defined). The credit agreement has a covenant which does not permit the ratio of "consolidated total debt at AEL&amp;P"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"consolidated total capitalization at AEL&amp;P," including the impact of the Snettisham bonds to be greater than 67.5 percent at any time. As of March 31, 2026, AEL&amp;P complied with this covenant.</w:t>
      </w:r>
    </w:p>
    <w:p>
      <w:pPr>
        <w:pStyle w:val="TextBody"/>
        <w:bidi w:val="0"/>
        <w:spacing w:before="240" w:after="283"/>
        <w:jc w:val="left"/>
        <w:rPr>
          <w:rFonts w:ascii="Times New Roman" w:hAnsi="Times New Roman"/>
          <w:b/>
          <w:color w:val="000000"/>
          <w:sz w:val="20"/>
        </w:rPr>
      </w:pPr>
      <w:bookmarkStart w:id="21" w:name="note_10_longterm_debt_to_affiliated_trus"/>
      <w:bookmarkEnd w:id="21"/>
      <w:r>
        <w:rPr>
          <w:rFonts w:ascii="Times New Roman" w:hAnsi="Times New Roman"/>
          <w:b/>
          <w:color w:val="000000"/>
          <w:sz w:val="20"/>
        </w:rPr>
        <w:t>NOTE 9. LONG-TERM DEBT TO AFFILIATED TRUSTS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1997, the Company issued Floating Rate Junior Subordinated Deferrable Interest Debentures, Series B, with a principal amount of $52 million to Avista Capital II, an affiliated business trust formed by the Company. Avista Capital II issued $50 million of Preferred Trust Securities. The distribution rate on the Preferred Trust Securities is three-month CME Term SOFR plus 1.137 percent.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distribution rates were as follows during the three months ended March 31, 2026 and the year ended December 31, 2025:</w:t>
      </w:r>
    </w:p>
    <w:tbl>
      <w:tblPr>
        <w:tblW w:w="6160" w:type="dxa"/>
        <w:jc w:val="left"/>
        <w:tblInd w:w="0" w:type="dxa"/>
        <w:tblLayout w:type="fixed"/>
        <w:tblCellMar>
          <w:top w:w="28" w:type="dxa"/>
          <w:left w:w="28" w:type="dxa"/>
          <w:bottom w:w="28" w:type="dxa"/>
          <w:right w:w="28" w:type="dxa"/>
        </w:tblCellMar>
      </w:tblPr>
      <w:tblGrid>
        <w:gridCol w:w="3376"/>
        <w:gridCol w:w="146"/>
        <w:gridCol w:w="197"/>
        <w:gridCol w:w="628"/>
        <w:gridCol w:w="271"/>
        <w:gridCol w:w="146"/>
        <w:gridCol w:w="257"/>
        <w:gridCol w:w="823"/>
        <w:gridCol w:w="316"/>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Low distribution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High distribution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 rate at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Concurrent with the issuance of the Preferred Trust Securities, Avista Capital II issued $2 million of Common Trust Securities to the Company. The Preferred Trust Securities may be redeemed at the option of Avista Capital II at any time and mature on June 1, 2037. In 2000, the Company purchased $10 million of these Preferred Trust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owns 100 percent of Avista Capital II and has solely and unconditionally guaranteed the payment of distributions on, and redemption price and liquidation amount for, the Preferred Trust Securities to the extent Avista Capital II has funds available for such payments from the respective debt securities. Upon maturity or prior redemption of such debt securities, the Preferred Trust Securities will be mandatorily redeemed. The Company does not include these capital trusts in its condensed consolidated financial statements as Avista Corp. is not the primary beneficiary. As such, the sole assets of the capital trusts are $52 million of junior subordinated deferrable interest debentures of Avista Corp., which are reflected on the Condensed Consolidated Balance Sheets. Interest expense to affiliated trusts in the Condensed Consolidated Statements of Income and Comprehensive Income represents interest expense on these debentures.</w:t>
      </w:r>
    </w:p>
    <w:p>
      <w:pPr>
        <w:pStyle w:val="TextBody"/>
        <w:bidi w:val="0"/>
        <w:spacing w:before="240" w:after="283"/>
        <w:jc w:val="left"/>
        <w:rPr>
          <w:rFonts w:ascii="Times New Roman" w:hAnsi="Times New Roman"/>
          <w:b/>
          <w:color w:val="000000"/>
          <w:sz w:val="20"/>
        </w:rPr>
      </w:pPr>
      <w:bookmarkStart w:id="22" w:name="note_11_fair_value"/>
      <w:bookmarkEnd w:id="22"/>
      <w:r>
        <w:rPr>
          <w:rFonts w:ascii="Times New Roman" w:hAnsi="Times New Roman"/>
          <w:b/>
          <w:color w:val="000000"/>
          <w:sz w:val="20"/>
        </w:rPr>
        <w:t>NOTE 10.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carrying values of cash and cash equivalents, accounts and notes receivable, accounts payable, and short-term borrowings as shown on the Condensed Consolidated Balance Sheets are reasonable estimates of their fair values. The carrying values of long-term debt (including current portion and material finance leases) and long-term debt to affiliated trusts as shown on the Condensed Consolidated Balance Sheets may be different from the estimated fair value. See below for the estimated fair value of long-term debt and long-term debt to affiliated trusts.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hierarchy prioritizes the inputs used to measure fair value. The hierarchy gives the highest priority to unadjusted quoted prices in active markets for identical assets or liabilities (Level 1 measurements) and the lowest priority to fair values derived from unobservable inputs (Level 3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three levels of the fair value hierarchy are defined as follows: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 Quoted prices are available in active markets for identical assets or liabilities. Active markets are those in which transactions for the asset or liability occur with sufficient frequency and volume to provide pricing information on an ongoing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 Pricing inputs are other than quoted prices in active markets included in Level 1, but which are either directly or indirectly observable as of the reporting date. Level 2 includes financial instruments valued using models or other valuation methodologies. These models are primarily industry-standard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 Pricing inputs include significant inputs generally unobservable from objective sources. These inputs may be used with internally developed methodologies that result in management’s best estimate of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assets and liabilities are classified in their entirety based on the lowest level of input that is significant to the fair value measurement. The Company’s assessment of the significance of a particular input to the fair value measurement requires judgment, and may affect the valuation of fair value assets and liabilities and their placement within the fair value hierarchy levels. The determination of the fair values incorporates various factors including the credit standing of the counterparties involved and the impact of credit enhancements (such as cash deposits and letters of credit), and the impact of Avista Corp.’s nonperformance risk on its liabilities.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the carrying value and estimated fair value of the Company’s financial instruments not reported at estimated fair value on the Condensed Consolidated Balance Sheets as of March 31, 2026 and December 31, 2025 (dollars in millions):</w:t>
      </w:r>
    </w:p>
    <w:tbl>
      <w:tblPr>
        <w:tblW w:w="8223" w:type="dxa"/>
        <w:jc w:val="left"/>
        <w:tblInd w:w="0" w:type="dxa"/>
        <w:tblLayout w:type="fixed"/>
        <w:tblCellMar>
          <w:top w:w="28" w:type="dxa"/>
          <w:left w:w="28" w:type="dxa"/>
          <w:bottom w:w="28" w:type="dxa"/>
          <w:right w:w="28" w:type="dxa"/>
        </w:tblCellMar>
      </w:tblPr>
      <w:tblGrid>
        <w:gridCol w:w="3796"/>
        <w:gridCol w:w="146"/>
        <w:gridCol w:w="211"/>
        <w:gridCol w:w="571"/>
        <w:gridCol w:w="146"/>
        <w:gridCol w:w="146"/>
        <w:gridCol w:w="222"/>
        <w:gridCol w:w="603"/>
        <w:gridCol w:w="146"/>
        <w:gridCol w:w="146"/>
        <w:gridCol w:w="211"/>
        <w:gridCol w:w="571"/>
        <w:gridCol w:w="146"/>
        <w:gridCol w:w="146"/>
        <w:gridCol w:w="222"/>
        <w:gridCol w:w="603"/>
        <w:gridCol w:w="1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(Level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Snettisham finance lease obligation (Level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to affiliated trusts (Level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estimates of fair value of long-term debt and long-term debt to affiliated trusts were primarily based on available market information, which generally consists of estimated market prices from third party brokers for debt with similar risk and terms. The price ranges obtained from the third party brokers consisted of market prices of 59.33 percent to 104.72 percent of the principal amount, where 100.0 percent of the principal amount (adjusted for unamortized discount or premium) represents the carrying value recorded on the Condensed Consolidated Balance Sheets. Level 2 long-term debt represents publicly issued bonds with quoted market prices; however, due to their limited trading activity, they are classified as Level 2 because brokers must generate quotes and make estimates if there is no trading activity near a period end. Level 3 long-term debt consists of private placement bonds and debt to affiliated trusts, which typically have no secondary trading activity. Fair values in Level 3 are estimated based on market prices from third party brokers using secondary market quotes for debt with similar risk and terms to generate quotes for Avista Corp. bonds. Due to the unique nature of the Snettisham finance lease obligation, the estimated fair value of these items was determined based on a discounted cash flow model using available market information. The Snettisham finance lease obligation fair value is determined using the Morgan Markets A Ex-Fin discount rate as published on March 31, 2026 and December 31, 2025.</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discloses by level within the fair value hierarchy the Company’s assets and liabilities measured and reported on the Condensed Consolidated Balance Sheets as of March 31, 2026 and December 31, 2025 at fair value on a recurring basis (dollars in millions):</w:t>
      </w:r>
    </w:p>
    <w:tbl>
      <w:tblPr>
        <w:tblW w:w="8259" w:type="dxa"/>
        <w:jc w:val="left"/>
        <w:tblInd w:w="0" w:type="dxa"/>
        <w:tblLayout w:type="fixed"/>
        <w:tblCellMar>
          <w:top w:w="28" w:type="dxa"/>
          <w:left w:w="28" w:type="dxa"/>
          <w:bottom w:w="28" w:type="dxa"/>
          <w:right w:w="28" w:type="dxa"/>
        </w:tblCellMar>
      </w:tblPr>
      <w:tblGrid>
        <w:gridCol w:w="2896"/>
        <w:gridCol w:w="146"/>
        <w:gridCol w:w="239"/>
        <w:gridCol w:w="391"/>
        <w:gridCol w:w="146"/>
        <w:gridCol w:w="146"/>
        <w:gridCol w:w="239"/>
        <w:gridCol w:w="391"/>
        <w:gridCol w:w="146"/>
        <w:gridCol w:w="146"/>
        <w:gridCol w:w="239"/>
        <w:gridCol w:w="391"/>
        <w:gridCol w:w="146"/>
        <w:gridCol w:w="146"/>
        <w:gridCol w:w="367"/>
        <w:gridCol w:w="654"/>
        <w:gridCol w:w="166"/>
        <w:gridCol w:w="146"/>
        <w:gridCol w:w="211"/>
        <w:gridCol w:w="316"/>
        <w:gridCol w:w="59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Counterparty</w:t>
              <w:br/>
              <w:t xml:space="preserve">and Cash </w:t>
              <w:br/>
              <w:t xml:space="preserve">Collateral </w:t>
              <w:br/>
              <w:t>Netting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Energy commodity 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Mutual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Fixed income securities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Equity securities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Energy commodity derivatives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6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Energy commodity 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Mutual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Fixed income securities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Equity securities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Energy commodity derivatives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6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permitted to net derivative assets and derivative liabilities with the same counterparty when a legally enforceable master netting agreement exists. In addition, the Company nets derivative assets and derivative liabilities against any payables and receivables for cash collateral held or placed with these same counterparties.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Level 3 energy commodity derivative balances are associated with a natural gas exchange agreement.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Included in other property and investments-net and other non-current assets on the Condensed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difference between the amount of derivative assets and liabilities disclosed in respective levels in the table above and the amount of derivative assets and liabilities disclosed on the Condensed Consolidated Balance Sheets is due to netting arrangements with certain counterparties. See Note 5 for additional discussion of derivative netting.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establish fair value for energy commodity derivatives, the Company uses quoted market prices and forward price curves to estimate the fair value of energy commodity derivative instruments included in Level 2. Electric derivative valuations are performed using market quotes, adjusted for periods in between quotable periods. Natural gas derivative valuations are estimated using New York Mercantile Exchange pricing for similar instruments, adjusted for basin differences, using market quotes. Where observable inputs are available for substantially the full term of the contract, the derivative asset or liability is included in Level 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Deferred compensation assets and liabilities represent funds held by the Company in a Rabbi Trust for an executive deferral plan. These funds consist of actively traded equity and bond funds with quoted prices in active markets.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Level 3 Fair Value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Natural Gas Exchange Agreement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For the natural gas commodity exchange agreement, the Company uses the same Level 2 market quotes described above; however, the Company also estimates the purchase and sales volumes (within contractual limits) as well as the timing of those transactions. Changing the timing of volume estimates changes the timing of purchases and sales, impacting which brokered quote is used. Because the brokered quotes can vary significantly from period to period, the unobservable estimates of the timing and volume of transactions can have a significant impact on the calculated fair value. The Company currently estimates volumes and timing of transactions based on a most likely scenario using historical data. Historically, the timing and volume of transactions are not highly correlated with market prices and market volatility.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quantitative information which was used to estimate the fair values of the Level 3 assets and liabilities above as of March 31, 2026 (dollars in millions, except for per mmBTU amounts):</w:t>
      </w:r>
    </w:p>
    <w:tbl>
      <w:tblPr>
        <w:tblW w:w="10205" w:type="dxa"/>
        <w:jc w:val="left"/>
        <w:tblInd w:w="0" w:type="dxa"/>
        <w:tblLayout w:type="fixed"/>
        <w:tblCellMar>
          <w:top w:w="28" w:type="dxa"/>
          <w:left w:w="28" w:type="dxa"/>
          <w:bottom w:w="28" w:type="dxa"/>
          <w:right w:w="28" w:type="dxa"/>
        </w:tblCellMar>
      </w:tblPr>
      <w:tblGrid>
        <w:gridCol w:w="1862"/>
        <w:gridCol w:w="146"/>
        <w:gridCol w:w="456"/>
        <w:gridCol w:w="559"/>
        <w:gridCol w:w="166"/>
        <w:gridCol w:w="146"/>
        <w:gridCol w:w="2467"/>
        <w:gridCol w:w="146"/>
        <w:gridCol w:w="1647"/>
        <w:gridCol w:w="146"/>
        <w:gridCol w:w="2464"/>
      </w:tblGrid>
      <w:tr>
        <w:trPr/>
        <w:tc>
          <w:tcPr>
            <w:tcW w:w="1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r>
      <w:tr>
        <w:trPr/>
        <w:tc>
          <w:tcPr>
            <w:tcW w:w="18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Fair Value</w:t>
              <w:br/>
              <w:t>(Net) at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Valuation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Unobservable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Range and Weighted</w:t>
            </w:r>
          </w:p>
        </w:tc>
      </w:tr>
      <w:tr>
        <w:trPr/>
        <w:tc>
          <w:tcPr>
            <w:tcW w:w="1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Average Price</w:t>
            </w:r>
          </w:p>
        </w:tc>
      </w:tr>
      <w:tr>
        <w:trPr/>
        <w:tc>
          <w:tcPr>
            <w:tcW w:w="18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Natural gas exchange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Internally derived weighted average cost of gas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Forward purchase prices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$0.97 - $2.68/mmBTU</w:t>
              <w:br/>
              <w:t>$1.85 Weighted Average</w:t>
            </w:r>
          </w:p>
        </w:tc>
      </w:tr>
      <w:tr>
        <w:trPr/>
        <w:tc>
          <w:tcPr>
            <w:tcW w:w="18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Forward sales prices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$1.13 - $6.59/mmBTU</w:t>
              <w:br/>
              <w:t>$4.24 Weighted Average</w:t>
            </w:r>
          </w:p>
        </w:tc>
      </w:tr>
      <w:tr>
        <w:trPr/>
        <w:tc>
          <w:tcPr>
            <w:tcW w:w="18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Purchase volumes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270,000 - 310,000 mmBTUs</w:t>
            </w:r>
          </w:p>
        </w:tc>
      </w:tr>
      <w:tr>
        <w:trPr/>
        <w:tc>
          <w:tcPr>
            <w:tcW w:w="18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Sales volumes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75,000 - 310,000 mmBTUs</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valuation methods, significant inputs and resulting fair values described above were developed by the Company and are reviewed on at least a quarterly basis to ensure they provide a reasonable estimate of fair value each reporting period.</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Equity Investments</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has two equity investments measured at fair value on a recurring basis. For one investment, fair value is determined using a market approach, starting with enterprise values from recent market transaction data for comparable companies with similar equity instruments. The market transaction data was used to estimate an enterprise value of the underlying investment and that value was allocated to the various classes of equity via an option pricing model and a waterfall approach. The selection of appropriate comparable companies and the expected time to a liquidation event requires management judgment. The significant assumptions in the analysis include comparable market transactions and related enterprise values and time to liquidity event. In the event there were relevant market transactions for the same or similar securities of the subject company or there was a reasonable possibility of a transaction occurring, these transactions would be utilized as an input to the valuation with a probability weight applied to the valuation.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second investment, fair value is determined using an income approach utilizing a discounted cash flow model. The model is based on income statement forecasts from the underlying company to determine cash flows for the period of ownership. The model then utilizes market multiples from publicly traded comparable companies in similar industries and projects to estimate the terminal fair value. The market multiples are reduced to reflect the difference in the life cycle between the publicly traded comparable companies and the start-up nature of the investment company. The selection of appropriate comparable companies, market multiples and the reduction to those market multiples requires management judgment. The significant assumptions in the model include the discount rate representing the risk associated with the investment, market multiples and the related reduction to those multiples, revenue forecasts, and the estimated terminal date for the investment. In the event there were relevant market transactions for the same or similar securities of the subject company or there is a reasonable possibility of a transaction occurring, those transactions are used to determine the fair value of Avista Corp.’s investment under a market approach instead of utilizing a discounted cash flow model. The market transactions are considered Level 3 inputs because they are not publicly available observable transactions.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quantitative information and assumptions which were used to estimate the fair values of the Level 3 equity investments as of March 31, 2026 (dollars in millions):</w:t>
      </w:r>
    </w:p>
    <w:tbl>
      <w:tblPr>
        <w:tblW w:w="10205" w:type="dxa"/>
        <w:jc w:val="left"/>
        <w:tblInd w:w="0" w:type="dxa"/>
        <w:tblLayout w:type="fixed"/>
        <w:tblCellMar>
          <w:top w:w="28" w:type="dxa"/>
          <w:left w:w="28" w:type="dxa"/>
          <w:bottom w:w="28" w:type="dxa"/>
          <w:right w:w="28" w:type="dxa"/>
        </w:tblCellMar>
      </w:tblPr>
      <w:tblGrid>
        <w:gridCol w:w="1683"/>
        <w:gridCol w:w="146"/>
        <w:gridCol w:w="486"/>
        <w:gridCol w:w="729"/>
        <w:gridCol w:w="146"/>
        <w:gridCol w:w="146"/>
        <w:gridCol w:w="1902"/>
        <w:gridCol w:w="146"/>
        <w:gridCol w:w="2587"/>
        <w:gridCol w:w="146"/>
        <w:gridCol w:w="2088"/>
      </w:tblGrid>
      <w:tr>
        <w:trPr/>
        <w:tc>
          <w:tcPr>
            <w:tcW w:w="1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r>
      <w:tr>
        <w:trPr/>
        <w:tc>
          <w:tcPr>
            <w:tcW w:w="16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Fair Value at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Valuation 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Unobservable 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Range</w:t>
            </w:r>
          </w:p>
        </w:tc>
      </w:tr>
      <w:tr>
        <w:trPr/>
        <w:tc>
          <w:tcPr>
            <w:tcW w:w="1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Market approach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Comparable enterprise values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$130-$389</w:t>
              <w:br/>
              <w:t>$246 Average</w:t>
            </w:r>
          </w:p>
        </w:tc>
      </w:tr>
      <w:tr>
        <w:trPr/>
        <w:tc>
          <w:tcPr>
            <w:tcW w:w="16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Time to liquidity event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1.75 years</w:t>
            </w:r>
          </w:p>
        </w:tc>
      </w:tr>
      <w:tr>
        <w:trPr/>
        <w:tc>
          <w:tcPr>
            <w:tcW w:w="16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Discounted 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Revenue market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0.38x to 5.52x Revenue</w:t>
              <w:br/>
              <w:t>2.69x Average</w:t>
            </w:r>
          </w:p>
        </w:tc>
      </w:tr>
      <w:tr>
        <w:trPr/>
        <w:tc>
          <w:tcPr>
            <w:tcW w:w="16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Market multiple exit reduction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w:t>
            </w:r>
          </w:p>
        </w:tc>
      </w:tr>
      <w:tr>
        <w:trPr/>
        <w:tc>
          <w:tcPr>
            <w:tcW w:w="16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r>
      <w:tr>
        <w:trPr/>
        <w:tc>
          <w:tcPr>
            <w:tcW w:w="16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Annual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$12 - 208</w:t>
            </w:r>
          </w:p>
        </w:tc>
      </w:tr>
      <w:tr>
        <w:trPr/>
        <w:tc>
          <w:tcPr>
            <w:tcW w:w="16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Terminal date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2031</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activity for assets and liabilities measured at fair value using significant unobservable inputs (Level 3) for the three months ended March 31 (dollars in millions):</w:t>
      </w:r>
    </w:p>
    <w:tbl>
      <w:tblPr>
        <w:tblW w:w="9284" w:type="dxa"/>
        <w:jc w:val="left"/>
        <w:tblInd w:w="0" w:type="dxa"/>
        <w:tblLayout w:type="fixed"/>
        <w:tblCellMar>
          <w:top w:w="28" w:type="dxa"/>
          <w:left w:w="28" w:type="dxa"/>
          <w:bottom w:w="28" w:type="dxa"/>
          <w:right w:w="28" w:type="dxa"/>
        </w:tblCellMar>
      </w:tblPr>
      <w:tblGrid>
        <w:gridCol w:w="3676"/>
        <w:gridCol w:w="146"/>
        <w:gridCol w:w="884"/>
        <w:gridCol w:w="1576"/>
        <w:gridCol w:w="166"/>
        <w:gridCol w:w="146"/>
        <w:gridCol w:w="544"/>
        <w:gridCol w:w="896"/>
        <w:gridCol w:w="166"/>
        <w:gridCol w:w="146"/>
        <w:gridCol w:w="211"/>
        <w:gridCol w:w="316"/>
        <w:gridCol w:w="41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Natural Gas Exchange Agreement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Equity 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gains or (losses) (realized/unrealized):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Included in regulatory assets/liabilities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54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4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gains or (losses) (realized/unrealized):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Included in regulatory assets/liabilities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Recognized in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54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4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were no transfers into or out of Level 3 fair value measurements during the period.</w:t>
      </w:r>
    </w:p>
    <w:p>
      <w:pPr>
        <w:pStyle w:val="TextBody"/>
        <w:bidi w:val="0"/>
        <w:spacing w:before="240" w:after="283"/>
        <w:jc w:val="left"/>
        <w:rPr>
          <w:rFonts w:ascii="Times New Roman" w:hAnsi="Times New Roman"/>
          <w:b/>
          <w:color w:val="000000"/>
          <w:sz w:val="20"/>
        </w:rPr>
      </w:pPr>
      <w:bookmarkStart w:id="23" w:name="note_12_common_stock"/>
      <w:bookmarkEnd w:id="23"/>
      <w:r>
        <w:rPr>
          <w:rFonts w:ascii="Times New Roman" w:hAnsi="Times New Roman"/>
          <w:b/>
          <w:color w:val="000000"/>
          <w:sz w:val="20"/>
        </w:rPr>
        <w:t>NOTE 11.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issued shares of common stock for total net proceeds of $14 million during the three months ended March 31, 2026. Most of these shares were issued in at-the-market transactions pursuant to the Company's sales agency agreements under which the Company may offer and sell new shares of common stock through its sales agents from time to time. Under these sales agency agreements, the Company issued 0.4 million shares during the three months ended March 31, 2026.</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24" w:name="note_14_earnings_per_common_share_attrib"/>
      <w:bookmarkEnd w:id="24"/>
      <w:r>
        <w:rPr>
          <w:rFonts w:ascii="Times New Roman" w:hAnsi="Times New Roman"/>
          <w:b/>
          <w:color w:val="000000"/>
          <w:sz w:val="20"/>
        </w:rPr>
        <w:t>NOTE 12. EARNINGS PER COMMON SHARE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presents the computation of basic and diluted earnings per common share for the three months ended March 31 (dollars in millions, except per share amounts, and shares in thousands):</w:t>
      </w:r>
    </w:p>
    <w:tbl>
      <w:tblPr>
        <w:tblW w:w="8034" w:type="dxa"/>
        <w:jc w:val="left"/>
        <w:tblInd w:w="0" w:type="dxa"/>
        <w:tblLayout w:type="fixed"/>
        <w:tblCellMar>
          <w:top w:w="28" w:type="dxa"/>
          <w:left w:w="28" w:type="dxa"/>
          <w:bottom w:w="28" w:type="dxa"/>
          <w:right w:w="28" w:type="dxa"/>
        </w:tblCellMar>
      </w:tblPr>
      <w:tblGrid>
        <w:gridCol w:w="5431"/>
        <w:gridCol w:w="146"/>
        <w:gridCol w:w="211"/>
        <w:gridCol w:w="676"/>
        <w:gridCol w:w="146"/>
        <w:gridCol w:w="146"/>
        <w:gridCol w:w="211"/>
        <w:gridCol w:w="676"/>
        <w:gridCol w:w="391"/>
      </w:tblGrid>
      <w:tr>
        <w:trPr/>
        <w:tc>
          <w:tcPr>
            <w:tcW w:w="5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common shares outstanding-basic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80,218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dilutive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Performance and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common shares outstanding-diluted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80,309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There were no shares excluded from the calculation because they were antidilutive.</w:t>
      </w:r>
    </w:p>
    <w:p>
      <w:pPr>
        <w:pStyle w:val="TextBody"/>
        <w:bidi w:val="0"/>
        <w:spacing w:before="120" w:after="283"/>
        <w:jc w:val="left"/>
        <w:rPr>
          <w:rFonts w:ascii="Times New Roman" w:hAnsi="Times New Roman"/>
          <w:b/>
          <w:color w:val="000000"/>
          <w:sz w:val="20"/>
        </w:rPr>
      </w:pPr>
      <w:bookmarkStart w:id="25" w:name="note_15_commitments_contingencies"/>
      <w:bookmarkEnd w:id="25"/>
      <w:r>
        <w:rPr>
          <w:rFonts w:ascii="Times New Roman" w:hAnsi="Times New Roman"/>
          <w:b/>
          <w:color w:val="000000"/>
          <w:sz w:val="20"/>
        </w:rPr>
        <w:t>NOTE 13. COMMITMENTS AND 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course of its business, the Company becomes involved in various claims, controversies, disputes and other contingent matters, including the items described in this Note. Some of these claims, controversies, disputes and other contingent matters involve litigation or other contested proceedings. For all such matters, the Company will vigorously protect and defend its interests and pursue its rights. However, no assurance can be given as to the outcome of any matter because litigation and other contested proceedings are subject to numerous uncertainties. For matters affecting Avista Utilities’ or AEL&amp;P's operations, the Company intends to seek, to the extent appropriate, recovery of costs through the ratemaking process.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Collective Bargaining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collective bargaining agreement with the IBEW represents 35 percent of all Avista Utilities' employees. The Company's largest represented group, representing approximately 90 percent of Avista Utilities' bargaining unit employees in Washington, Idaho and Montana, are covered under a four-year agreement which expires in 2029.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2025, the Company's System Operators voted to unionize, and the National Labor Relations Board certified the IBEW Local 77 as their exclusive collective bargaining representative. We are in the process of negotiating a separate contract with the IBEW for the System Operator group, which is comprised of approximately 20 employees. </w:t>
      </w:r>
    </w:p>
    <w:p>
      <w:pPr>
        <w:pStyle w:val="TextBody"/>
        <w:bidi w:val="0"/>
        <w:spacing w:before="120" w:after="283"/>
        <w:jc w:val="left"/>
        <w:rPr>
          <w:rFonts w:ascii="Times New Roman" w:hAnsi="Times New Roman"/>
          <w:sz w:val="20"/>
        </w:rPr>
      </w:pPr>
      <w:r>
        <w:rPr>
          <w:rFonts w:ascii="Times New Roman" w:hAnsi="Times New Roman"/>
          <w:b/>
          <w:i/>
          <w:color w:val="000000"/>
          <w:sz w:val="20"/>
        </w:rPr>
        <w:t>Orofino Fire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2023, a fire started in windy conditions near Orofino, Idaho, burning 53 acres and seven primary residences, as well as several outbuildings. The Idaho Department of Lands investigated and has issued a report in which it concluded the fire was caused by an electrical fault igniting three separate spots which then spread uphill. The Company has a distribution line in the area near the ignition point. The Company has to date found no evidence suggesting negligence on its part. Three minor claims for damage to personal property were received in connection with the fire, which were resolved. The Company has received one additional claim in connection with the fire for suppression costs from the Idaho Department of Lands seeking $0.2 million. The Company will vigorously defend itself in the event any additional claims are asserted; however, at this time, it is unable to estimate the likelihood of an adverse outcome or the amount or range of a potential loss in the event of an adverse outcome.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Rathdrum, Idaho Natural Gas Incident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2021, there was an incident in Rathdrum, Idaho involving the Company’s natural gas infrastructure. The incident occurred after a third party damaged those facilities during excavation work. The incident resulted in a fire which destroyed one residence and resulted in minor injuries to the occupants. In January 2023, the Company was served with a lawsuit filed in the District Court of Kootenai County, Idaho by one property owner, seeking unspecified damages. In February 2024, the Company received a second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lawsuit filed by the owners of the adjacent property, seeking damages for personal injury and emotional distress from having witnessed the incident. On motions for summary judgment, the Court dismissed the party which had originally contracted for the excavation work, as well as claims brought on behalf of the children of the property owners whose home was damaged. The remainder of the case remains pending and the Company continues to vigorously defend itself in the legal proceedings; however, at this time, the Company is unable to predict the likelihood of an adverse outcome or estimate a range of potential loss in the event of such an outcome. </w:t>
      </w:r>
    </w:p>
    <w:p>
      <w:pPr>
        <w:pStyle w:val="TextBody"/>
        <w:bidi w:val="0"/>
        <w:spacing w:before="120" w:after="283"/>
        <w:jc w:val="left"/>
        <w:rPr>
          <w:rFonts w:ascii="Times New Roman" w:hAnsi="Times New Roman"/>
          <w:sz w:val="20"/>
        </w:rPr>
      </w:pPr>
      <w:r>
        <w:rPr>
          <w:rFonts w:ascii="Times New Roman" w:hAnsi="Times New Roman"/>
          <w:b/>
          <w:i/>
          <w:color w:val="000000"/>
          <w:sz w:val="20"/>
        </w:rPr>
        <w:t>Complaint of Consumers for Independent Regional Transmission Planning for All FERC-Jurisdictional Transmission Facilities at 100kV and Above</w:t>
      </w:r>
      <w:r>
        <w:rPr>
          <w:rFonts w:ascii="Times New Roman" w:hAnsi="Times New Roman"/>
          <w:color w:val="000000"/>
          <w:sz w:val="20"/>
        </w:rPr>
        <w:t xml:space="preserve"> </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In December 2024, the Company received notice of a complaint filed with the FERC by Consumers for Independent Regional Transmission Planning against all FERC-jurisdictional Transmission providers with local planning tariffs utilizing facilities at 100 kV and above, which includes the Company. The complaint alleges that the local transmission planning process allows individual transmission owners to plan FERC-jurisdictional transmission facilities without regard to whether that planning is the more efficient or cost-effective project for the interconnected grid and cost effective for customers. The Company intends to vigorously defend itself in this action; however, at this time, the Company is unable to predict the likelihood of an adverse outcome or estimate a range of potential loss in the event of such an outcome.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normal course of business, the Company has various other legal claims and contingent matters outstanding. The Company believes any liability arising from these actions will not have a material impact on its financial condition, results of operations or cash flows. It is possible a change could occur in the Company’s estimates of the probability or amount of a liability being incurred. Such a change, should it occur, could be significant. See "Note 22 of the Notes to Consolidated Financial Statements" in the 2025 Form 10-K for additional discussion regarding other contingencies.</w:t>
      </w:r>
    </w:p>
    <w:p>
      <w:pPr>
        <w:pStyle w:val="TextBody"/>
        <w:bidi w:val="0"/>
        <w:spacing w:before="240" w:after="283"/>
        <w:jc w:val="left"/>
        <w:rPr>
          <w:rFonts w:ascii="Times New Roman" w:hAnsi="Times New Roman"/>
          <w:sz w:val="20"/>
        </w:rPr>
      </w:pPr>
      <w:bookmarkStart w:id="26" w:name="note_16_information_by_business_segments"/>
      <w:bookmarkEnd w:id="26"/>
      <w:r>
        <w:rPr>
          <w:rFonts w:ascii="Times New Roman" w:hAnsi="Times New Roman"/>
          <w:b/>
          <w:color w:val="000000"/>
          <w:sz w:val="20"/>
        </w:rPr>
        <w:t>NOTE 14. INFORMATION</w:t>
      </w:r>
      <w:r>
        <w:rPr>
          <w:rFonts w:ascii="Times New Roman" w:hAnsi="Times New Roman"/>
          <w:color w:val="000000"/>
          <w:sz w:val="20"/>
        </w:rPr>
        <w:t xml:space="preserve"> </w:t>
      </w:r>
      <w:r>
        <w:rPr>
          <w:rFonts w:ascii="Times New Roman" w:hAnsi="Times New Roman"/>
          <w:b/>
          <w:color w:val="000000"/>
          <w:sz w:val="20"/>
        </w:rPr>
        <w:t>BY BUSINESS SEGMENTS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business segment presentation reflects the information reviewed by the Company's Chief Operating Decision Maker (CODM, the Company's President and Chief Executive Officer). Such information is the basis for the analysis of segment performance and the allocation of resources. Performance is evaluated based on net income (loss) and variances of actual performance from the Company's budget and/or forecast when making decisions. The accounting policies of the segments are the same as those described in the summary of significant accounting policies. Avista Utilities' business is managed based on the total regulated utility operation; therefore, it is considered one segment. AEL&amp;P is a separate reportable business segment since it has separate financial information and its operations and risks are sufficiently different from Avista Utilities and the other businesses at AERC that it cannot be aggregated with other operating segments. The Other category, which is not a reportable segment, includes other investments and operations of various subsidiaries, as well as certain other operations of Avista Capital. Decisions by the CODM are made in consultation with other members of management, as appropriate, and are subject to the general oversight and strategic direction of the Board of Directors.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information for each of the Company’s business segments (dollars in millions):</w:t>
      </w:r>
    </w:p>
    <w:tbl>
      <w:tblPr>
        <w:tblW w:w="10205" w:type="dxa"/>
        <w:jc w:val="left"/>
        <w:tblInd w:w="0" w:type="dxa"/>
        <w:tblLayout w:type="fixed"/>
        <w:tblCellMar>
          <w:top w:w="28" w:type="dxa"/>
          <w:left w:w="28" w:type="dxa"/>
          <w:bottom w:w="28" w:type="dxa"/>
          <w:right w:w="28" w:type="dxa"/>
        </w:tblCellMar>
      </w:tblPr>
      <w:tblGrid>
        <w:gridCol w:w="2638"/>
        <w:gridCol w:w="146"/>
        <w:gridCol w:w="196"/>
        <w:gridCol w:w="511"/>
        <w:gridCol w:w="146"/>
        <w:gridCol w:w="146"/>
        <w:gridCol w:w="226"/>
        <w:gridCol w:w="435"/>
        <w:gridCol w:w="166"/>
        <w:gridCol w:w="146"/>
        <w:gridCol w:w="218"/>
        <w:gridCol w:w="570"/>
        <w:gridCol w:w="146"/>
        <w:gridCol w:w="146"/>
        <w:gridCol w:w="634"/>
        <w:gridCol w:w="1222"/>
        <w:gridCol w:w="166"/>
        <w:gridCol w:w="146"/>
        <w:gridCol w:w="357"/>
        <w:gridCol w:w="632"/>
        <w:gridCol w:w="166"/>
        <w:gridCol w:w="146"/>
        <w:gridCol w:w="196"/>
        <w:gridCol w:w="511"/>
        <w:gridCol w:w="193"/>
      </w:tblGrid>
      <w:tr>
        <w:trPr/>
        <w:tc>
          <w:tcPr>
            <w:tcW w:w="26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6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Reportable Segments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Avista</w:t>
              <w:br/>
              <w:t>Utilities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Alaska</w:t>
              <w:br/>
              <w:t>Electric</w:t>
              <w:br/>
              <w:t>Light and</w:t>
              <w:br/>
              <w:t>Power</w:t>
              <w:br/>
              <w:t>Company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Total Utility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Other Non-Reportable Segment Items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Eliminations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Total</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three months ended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Resource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segment expenses (income)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 expenditures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three months ended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617</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Resource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segment expenses (income)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 expenditures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8,408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8,359</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Intersegment eliminations reported as interest expense represent intercompany interest.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Including interest expense to affiliated trusts.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Other segment items include taxes other than income tax, AFUDC equity, other miscellaneous expenses, and earnings (losses) from investments.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The capital expenditures for the other businesses are included in other investing activities on the Condensed Consolidated Statements of Cash Flows.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240" w:after="283"/>
        <w:jc w:val="left"/>
        <w:rPr>
          <w:rFonts w:ascii="Times New Roman" w:hAnsi="Times New Roman"/>
          <w:color w:val="000000"/>
          <w:sz w:val="20"/>
        </w:rPr>
      </w:pPr>
      <w:bookmarkStart w:id="27" w:name="report_independent_registered_public_acc"/>
      <w:bookmarkEnd w:id="27"/>
      <w:r>
        <w:rPr>
          <w:rFonts w:ascii="Times New Roman" w:hAnsi="Times New Roman"/>
          <w:color w:val="000000"/>
          <w:sz w:val="20"/>
        </w:rPr>
        <w:t>REPORT OF INDEPENDENT REGISTERED PUBLIC ACCOUNTING FIRM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the shareholders and the Board of Directors of</w:t>
      </w:r>
    </w:p>
    <w:p>
      <w:pPr>
        <w:pStyle w:val="TextBody"/>
        <w:bidi w:val="0"/>
        <w:jc w:val="left"/>
        <w:rPr>
          <w:rFonts w:ascii="Times New Roman" w:hAnsi="Times New Roman"/>
          <w:color w:val="000000"/>
          <w:sz w:val="20"/>
        </w:rPr>
      </w:pPr>
      <w:r>
        <w:rPr>
          <w:rFonts w:ascii="Times New Roman" w:hAnsi="Times New Roman"/>
          <w:color w:val="000000"/>
          <w:sz w:val="20"/>
        </w:rPr>
        <w:t>Avista Corporation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Review of Interim Financial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reviewed the accompanying condensed consolidated balance sheet of Avista Corporation and subsidiaries (the "Company") as of March 31, 2026, the related condensed consolidated statements of income and comprehensive income, equity, and cash flows for the three-month periods ended March 31, 2026 and 2025, and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previously audited, in accordance with the standards of the Public Company Accounting Oversight Board (United States) (PCAOB), the consolidated balance sheet of the Company as of December 31, 2025, and the related consolidated statements of income, comprehensive income, equity, and cash flows for the year then ended (not presented herein); and in our report dated February 24, 2026, we expressed an unqualified opinion on those consolidated financial statements. In our opinion, the information set forth in the accompanying condensed consolidated balance sheet as of December 31, 2025, is fairly stated, in all material respects, in relation to the consolidated balance sheet from which it has been derived.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Basis for Review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Portland, Oregon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4, 2026</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jc w:val="left"/>
        <w:rPr>
          <w:rFonts w:ascii="Times New Roman" w:hAnsi="Times New Roman"/>
          <w:b/>
          <w:color w:val="000000"/>
          <w:sz w:val="20"/>
          <w:u w:val="single"/>
        </w:rPr>
      </w:pPr>
      <w:bookmarkStart w:id="28" w:name="item_2_managements_discussion_analysis_f"/>
      <w:bookmarkEnd w:id="28"/>
      <w:r>
        <w:rPr>
          <w:rFonts w:ascii="Times New Roman" w:hAnsi="Times New Roman"/>
          <w:b/>
          <w:color w:val="000000"/>
          <w:sz w:val="20"/>
          <w:u w:val="single"/>
        </w:rPr>
        <w:t>Item 2. Management’s Discussion and Analysis of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Management’s Discussion and Analysis of Financial Condition and Results of Operations (MD&amp;A) was prepared in accordance with the SEC’s Regulation S-K for interim financial information and with the instructions to Form 10-Q. Accordingly, this MD&amp;A does not contain the full detail or analysis, or the full discussion of trends and uncertainties, that are required to accompany financial statements for a full fiscal year and are contained in the Company's 2025 Form 10-K. Therefore, this MD&amp;A should be read in conjunction with the Company's 2025 Form 10-K for full detail and analysis of the Company's financial condition, and results of operations, and a full discussion of trends and uncertainties that the Company faces.</w:t>
      </w:r>
    </w:p>
    <w:p>
      <w:pPr>
        <w:pStyle w:val="TextBody"/>
        <w:bidi w:val="0"/>
        <w:spacing w:before="240" w:after="283"/>
        <w:jc w:val="left"/>
        <w:rPr>
          <w:rFonts w:ascii="Times New Roman" w:hAnsi="Times New Roman"/>
          <w:b/>
          <w:color w:val="000000"/>
          <w:sz w:val="20"/>
          <w:u w:val="single"/>
        </w:rPr>
      </w:pPr>
      <w:bookmarkStart w:id="29" w:name="business_segments"/>
      <w:bookmarkEnd w:id="29"/>
      <w:r>
        <w:rPr>
          <w:rFonts w:ascii="Times New Roman" w:hAnsi="Times New Roman"/>
          <w:b/>
          <w:color w:val="000000"/>
          <w:sz w:val="20"/>
          <w:u w:val="single"/>
        </w:rPr>
        <w:t>Business Segments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segments have not changed during the three months ended March 31, 2026. See the 2025 Form 10-K as well as “Note 14 of the Notes to Condensed Consolidated Financial Statements” for further information regarding our business segments.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net income (loss) for each of our business segments and the other businesses for the three months ended March 31 (dollars in millions):</w:t>
      </w:r>
    </w:p>
    <w:tbl>
      <w:tblPr>
        <w:tblW w:w="4599" w:type="dxa"/>
        <w:jc w:val="left"/>
        <w:tblInd w:w="0" w:type="dxa"/>
        <w:tblLayout w:type="fixed"/>
        <w:tblCellMar>
          <w:top w:w="28" w:type="dxa"/>
          <w:left w:w="28" w:type="dxa"/>
          <w:bottom w:w="28" w:type="dxa"/>
          <w:right w:w="28" w:type="dxa"/>
        </w:tblCellMar>
      </w:tblPr>
      <w:tblGrid>
        <w:gridCol w:w="2896"/>
        <w:gridCol w:w="146"/>
        <w:gridCol w:w="211"/>
        <w:gridCol w:w="316"/>
        <w:gridCol w:w="146"/>
        <w:gridCol w:w="146"/>
        <w:gridCol w:w="211"/>
        <w:gridCol w:w="316"/>
        <w:gridCol w:w="21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Avista Utilities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AEL&amp;P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non-reportable segment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u w:val="single"/>
        </w:rPr>
      </w:pPr>
      <w:bookmarkStart w:id="30" w:name="executive_level_summary"/>
      <w:bookmarkEnd w:id="30"/>
      <w:r>
        <w:rPr>
          <w:rFonts w:ascii="Times New Roman" w:hAnsi="Times New Roman"/>
          <w:b/>
          <w:color w:val="000000"/>
          <w:sz w:val="20"/>
          <w:u w:val="single"/>
        </w:rPr>
        <w:t>Executive Overview</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Overall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income for the three months ended March 31, 2026 increased compared to the three months ended March 31, 2025, due to increased utility margin resulting from the effects of our general rate cases and net investment gains at our other businesses compared to net investment losses in the first quarter of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When comparing results from the first quarter of 2026 to the first quarter of 2025, the transfer of our ownership of Colstrip (effective January 1, 2026) has resulted in fluctuations in multiple line items on the income statement, which ultimately net to an immaterial impact on earnings. The removal of Colstrip from our generation portfolio resulted in an increase in authorized power supply cost and increases in both electric utility revenues and electric resource costs (resulting in no impact on electric utility margin). In addition, other operating costs and depreciation expense have decreased, with a corresponding decrease in electric utility revenues associated with recovery of these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 detailed explanations of the fluctuations in revenues and expenses are provided in the results of operations and business segment discussions (Avista Utilities, AEL&amp;P, and the other businesses) that follow this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the summary of key developments and issues that are the focus of management under the heading “Executive Overview” in the MD&amp;A of our 2025 10-K. The following developments have occurred since that report: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Current Hydroelectric Conditions and Outlook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precipitation and warm weather, our hydroelectric generation year-to-date has been above normal. Due to the warm weather, the average current level of snowpack in the areas serving our hydroelectric facilities is below normal. The amount of hydroelectric generation over the rest of the year will be affected not only by current snowpack levels but also by prevailing temperatures (which affect the timing and speed of run-off) and the volume, timing and form of precipitation. On balance, we expect hydroelectric generation for the entire year will be approximately above the normal level. While our current hydro forecast shows above normal levels of generation, even if we were above or below normal, there would be no material change to our position in the ERM.</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160"/>
        <w:jc w:val="left"/>
        <w:rPr>
          <w:rFonts w:ascii="Times New Roman" w:hAnsi="Times New Roman"/>
          <w:b/>
          <w:i/>
          <w:color w:val="000000"/>
          <w:sz w:val="20"/>
        </w:rPr>
      </w:pPr>
      <w:r>
        <w:rPr>
          <w:rFonts w:ascii="Times New Roman" w:hAnsi="Times New Roman"/>
          <w:b/>
          <w:i/>
          <w:color w:val="000000"/>
          <w:sz w:val="20"/>
        </w:rPr>
        <w:t>Enterprise Resource Planning (ERP) Project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are planning to implement an ERP system, replacing certain existing technology tools currently in use. The system will be designed to accurately maintain our financial records, enhance operational functionality, and provide timely information to our management team related to business operations. We expect the ERP system to be implemented in 2028, with capital expenditures of approximately $130 million.</w:t>
      </w:r>
    </w:p>
    <w:p>
      <w:pPr>
        <w:pStyle w:val="TextBody"/>
        <w:bidi w:val="0"/>
        <w:spacing w:before="80" w:after="283"/>
        <w:jc w:val="left"/>
        <w:rPr>
          <w:rFonts w:ascii="Times New Roman" w:hAnsi="Times New Roman"/>
          <w:b/>
          <w:color w:val="000000"/>
          <w:sz w:val="20"/>
          <w:u w:val="single"/>
        </w:rPr>
      </w:pPr>
      <w:bookmarkStart w:id="31" w:name="regulatory_matters"/>
      <w:bookmarkEnd w:id="31"/>
      <w:r>
        <w:rPr>
          <w:rFonts w:ascii="Times New Roman" w:hAnsi="Times New Roman"/>
          <w:b/>
          <w:color w:val="000000"/>
          <w:sz w:val="20"/>
          <w:u w:val="single"/>
        </w:rPr>
        <w:t>Regulatory Matters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General Rate Cases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regularly review the need for electric and natural gas rate changes in each state in which we provide service. We expect to continue to file for rate adjustments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recovery of operating costs and capital investments,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the opportunity to earn reasonable returns as allowed by regulators.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regard to the timing and plans for future filings, the assessment of our need for rate relief and the development of rate case plans takes into consideration short-term and long-term needs, as well as specific factors including, but not limited to, in-service dates of major capital investments and the timing of changes in major revenue and expense items.</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Avista Utilities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Washington General Rate Cases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2024 General Rate Cases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2024, the WUTC issued orders related to our multi-year electric and natural gas general rate cases filed with the WUTC in January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approved rates within the orders are designed to increase annual electric base revenues by $12 million (or 2.0 percent), effective January 1, 2025 (Rate Year 1), and $69 million (or 11.4 percent) for Rate Year 2. The Rate Year 2 increase includes $54 million related to higher authorized power supply costs resulting from the removal of Colstrip from our generation portfolio. This base increase is offset by decreases in capital and operating costs removed from customer rates of $43 million, effective January 1, 2026, as we are no longer recovering Colstrip related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approved rates are also designed to increase annual natural gas base revenues by $14 million (or 11.2 percent), effective January 1, 2025, and $4 million (or 2.8 percent) for Rate Year 2.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WUTC approved an ROE of 9.8 percent, based on a common equity ratio of 48.5 percent, and an ROR of 7.32 percent.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WUTC did not approve of our request to modify the ERM under which differences between actual net power supply costs and the amount reflected in base retail customer rates are tracked. Based on our forecast energy commodity costs in 2025 and 2026, we expect actual net power supply costs to exceed the level included in base rates. We plan to continue to address how net power supply costs are set in base rates in future regulatory proceedings.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Commission continued its support for important recovery mechanisms such as wildfire and insurance balancing accounts, and decoupling.</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2026 General Rate Cases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2026, we filed an MYRP with the WUTC. The MYRP requests base rate relief over four years designed to produce the additional base revenues shown below (dollars in millions):</w:t>
      </w:r>
    </w:p>
    <w:tbl>
      <w:tblPr>
        <w:tblW w:w="5678" w:type="dxa"/>
        <w:jc w:val="left"/>
        <w:tblInd w:w="0" w:type="dxa"/>
        <w:tblLayout w:type="fixed"/>
        <w:tblCellMar>
          <w:top w:w="28" w:type="dxa"/>
          <w:left w:w="28" w:type="dxa"/>
          <w:bottom w:w="28" w:type="dxa"/>
          <w:right w:w="28" w:type="dxa"/>
        </w:tblCellMar>
      </w:tblPr>
      <w:tblGrid>
        <w:gridCol w:w="796"/>
        <w:gridCol w:w="1141"/>
        <w:gridCol w:w="146"/>
        <w:gridCol w:w="211"/>
        <w:gridCol w:w="421"/>
        <w:gridCol w:w="146"/>
        <w:gridCol w:w="146"/>
        <w:gridCol w:w="146"/>
        <w:gridCol w:w="466"/>
        <w:gridCol w:w="271"/>
        <w:gridCol w:w="146"/>
        <w:gridCol w:w="211"/>
        <w:gridCol w:w="316"/>
        <w:gridCol w:w="146"/>
        <w:gridCol w:w="146"/>
        <w:gridCol w:w="146"/>
        <w:gridCol w:w="361"/>
        <w:gridCol w:w="316"/>
      </w:tblGrid>
      <w:tr>
        <w:trPr/>
        <w:tc>
          <w:tcPr>
            <w:tcW w:w="79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Rate Year</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Rates Effective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Electric</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Natural Gas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We requested an overall rate of return beginning in 2027 of 7.5 percent, with a 48.5 common equity ratio and a 10.2 percent return on equity. We requested an increase to the overall rate of return in 2029 to 7.67 percent, with a 48.5 common equity ratio and 10.5 percent return on equity. </w:t>
      </w:r>
    </w:p>
    <w:p>
      <w:pPr>
        <w:pStyle w:val="TextBody"/>
        <w:bidi w:val="0"/>
        <w:jc w:val="left"/>
        <w:rPr>
          <w:rFonts w:ascii="Times New Roman" w:hAnsi="Times New Roman"/>
          <w:color w:val="000000"/>
          <w:sz w:val="20"/>
        </w:rPr>
      </w:pPr>
      <w:r>
        <w:rPr>
          <w:rFonts w:ascii="Times New Roman" w:hAnsi="Times New Roman"/>
          <w:color w:val="000000"/>
          <w:sz w:val="20"/>
        </w:rPr>
        <w:t>Key drivers of the revenue requirement in Rate Year 1 (2027) are outlined below (dollars in millions):</w:t>
      </w:r>
    </w:p>
    <w:tbl>
      <w:tblPr>
        <w:tblW w:w="4567" w:type="dxa"/>
        <w:jc w:val="left"/>
        <w:tblInd w:w="0" w:type="dxa"/>
        <w:tblLayout w:type="fixed"/>
        <w:tblCellMar>
          <w:top w:w="28" w:type="dxa"/>
          <w:left w:w="28" w:type="dxa"/>
          <w:bottom w:w="28" w:type="dxa"/>
          <w:right w:w="28" w:type="dxa"/>
        </w:tblCellMar>
      </w:tblPr>
      <w:tblGrid>
        <w:gridCol w:w="2191"/>
        <w:gridCol w:w="146"/>
        <w:gridCol w:w="211"/>
        <w:gridCol w:w="421"/>
        <w:gridCol w:w="146"/>
        <w:gridCol w:w="146"/>
        <w:gridCol w:w="346"/>
        <w:gridCol w:w="569"/>
        <w:gridCol w:w="391"/>
      </w:tblGrid>
      <w:tr>
        <w:trPr/>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Electric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Natural Gas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Electric resource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Regulatory amortizations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Wildfire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the MYRP, we propose certain changes to the calculation of authorized baseline power supply costs. These changes are designed to address the changing market dynamics which have led to significant volatility in actual power supply costs. The MYRP provides updates to our baseline power supply cost for rate years one and two; as required by Washington law, baseline power supply costs for Rate Years 3 and 4 will be established in later filings and as such are not included in the additional revenue requirements for those years shown above. In addition, we are proposing changes to the timing for recovery of costs deferred under the ERM.</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to requesting re-approval of existing insurance, wildfire, and decoupling deferral accounts, we are proposing an additional deferral mechanism for costs associated with employee benefits.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Washington law requires utilities to file MYRPs of a minimum of two and up to four years. The law allows utilities filing a rate plan of 3 or 4 years the option to file a new rate plan for the third year and fourth year. Under this provision, we have the opportunity to address the numerous unpredictable factors that could materially affect our financial position over a longer-term rate plan. These risks include, but are not limited to, inflation, interest rate volatility, labor and benefits challenges, escalating capital costs, and other unforeseen cost drivers.</w:t>
      </w:r>
    </w:p>
    <w:p>
      <w:pPr>
        <w:pStyle w:val="TextBody"/>
        <w:bidi w:val="0"/>
        <w:jc w:val="left"/>
        <w:rPr>
          <w:rFonts w:ascii="Times New Roman" w:hAnsi="Times New Roman"/>
          <w:color w:val="000000"/>
          <w:sz w:val="20"/>
        </w:rPr>
      </w:pPr>
      <w:r>
        <w:rPr>
          <w:rFonts w:ascii="Times New Roman" w:hAnsi="Times New Roman"/>
          <w:color w:val="000000"/>
          <w:sz w:val="20"/>
        </w:rPr>
        <w:t>The WUTC has up to eleven months to review the general rate case filings and issue a decision. The initial settlement conference is expected to take place in May 2026, with evidentiary hearings scheduled for September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Idaho General Rate Cases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2025 General Rate Cases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2025, the IPUC approved the all-party settlement agreement designed to increase annual base electric revenues by $20 million, or 6.3 percent, effective September 2025, and $15 million, or 4.5 percent, effective September 2026. For natural gas, the agreement was designed to increase annual base natural gas revenues by $5 million, or 9.2 percent, effective September 2025, and decrease annual base natural gas revenues by $0.2 million, or 0.4 percent, effective September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settlement was based on an ROE of 9.6 percent with a common equity ratio of 50 percent and an ROR of 7.28 percent.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Oregon General Rate Case</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2024 General Rate Case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2025, the OPUC approved the all-party settlement agreement designed to increase annual base revenues by $4 million, or 5.0 percent, effective in September 2025. The settlement was based on an ROE of 9.5 percent with a common equity ratio of 50 percent and an ROR of 7.22 percent.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mitigate the overall impact of the revenue increases on customers, $5 million of tax customer credits will be accelerated and returned to customers over a three-year period.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Future Oregon General Rate Cases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2025, the Governor of Oregon signed House Bill 3179 into law which modifies certain provisions of law that relate to general rate case filings and cost recovery. The law, among other things, extends the length of time for the OPUC to suspend rates from a proposed effective date from nine to ten months, does not allow residential rate increases of any kind between November 1 and March 31, does not allow new rates to take effect from a proceeding where the return on equity is at issue within eighteen months of the prior rate effective date, authorizes (but does not require) securitization of “capital investments” that will cause rates to “rise by more than five percent” under specific circumstances, and calls for the OPUC to establish rules requiring utilities to establish a multi-year rate plan for rate revisions where a company’s return on equity is reviewed. Such rate plans must be no less than three years and no more than seven years in length. Rulemakings to institute these provisions started in September 2025 and will continue through 2026. We are analyzing the possible effects of this legislation, including how it will impact the timing of future rate case filings.</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Avista Utilities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Purchased Gas Adjustments, Power Cost Deferrals and Decoupling Mechanisms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our 2025 Form 10-K for discussion of the various regulatory recovery mechanisms in each of our jurisdictions.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2025, we received approval from the WUTC to recover $32 million of the ERM deferred surcharge balance in Washington over a two-year period starting July 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first quarter of 2026, we filed a request with the WUTC to recover from customers $65 million of ERM costs deferred in 2025 over a one-year period starting July 1, 2026.</w:t>
      </w:r>
    </w:p>
    <w:p>
      <w:pPr>
        <w:pStyle w:val="TextBody"/>
        <w:bidi w:val="0"/>
        <w:spacing w:before="120" w:after="283"/>
        <w:jc w:val="left"/>
        <w:rPr>
          <w:rFonts w:ascii="Times New Roman" w:hAnsi="Times New Roman"/>
          <w:b/>
          <w:color w:val="000000"/>
          <w:sz w:val="20"/>
          <w:u w:val="single"/>
        </w:rPr>
      </w:pPr>
      <w:bookmarkStart w:id="32" w:name="results_of_operations_overall"/>
      <w:bookmarkEnd w:id="32"/>
      <w:r>
        <w:rPr>
          <w:rFonts w:ascii="Times New Roman" w:hAnsi="Times New Roman"/>
          <w:b/>
          <w:color w:val="000000"/>
          <w:sz w:val="20"/>
          <w:u w:val="single"/>
        </w:rPr>
        <w:t>Results of Operations - Overall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provides an overview of changes in our Condensed Consolidated Statements of Income and Comprehensive Income. More detailed explanations are provided, particularly for operating revenues and operating expenses, in the business segment discussions (Avista Utilities, AEL&amp;P, and the other businesses) that follow this section.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balances included below for utility operations reconcile to the Condensed Consolidated Statements of Income and Comprehensive Income.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Three months ended March 31, 2026 compared to the three months ended March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graph shows the total change in net income for the first quarter of 2026 compared to the first quarter of 2025, as well as the factors that caused such change (dollars in millions):</w:t>
      </w:r>
    </w:p>
    <w:p>
      <w:pPr>
        <w:pStyle w:val="TextBody"/>
        <w:bidi w:val="0"/>
        <w:spacing w:before="120" w:after="283"/>
        <w:jc w:val="center"/>
        <w:rPr/>
      </w:pPr>
      <w:r>
        <w:rPr/>
        <w:drawing>
          <wp:inline distT="0" distB="0" distL="0" distR="0">
            <wp:extent cx="6858000" cy="3133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3133725"/>
                    </a:xfrm>
                    <a:prstGeom prst="rect">
                      <a:avLst/>
                    </a:prstGeom>
                  </pic:spPr>
                </pic:pic>
              </a:graphicData>
            </a:graphic>
          </wp:inline>
        </w:drawing>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Electric utility revenues decreased primarily as a result of decreased wholesale revenues associated with lower market prices, and a reduction of revenues associated with the recovery of Colstrip costs, which were partially offset by other increases in retail rates associated with our general rate cases. Natural gas revenues decreased due to decreased rates associated with the PGAs and the CCA (which do not impact utility margin or net income), as well as decreased wholesale revenues, transportation revenues and an increased provision for rate refunds associated with overearnings in Washington.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Electric utility resource costs decreased primarily due to decreased purchased power costs associated with decreased wholesale prices, as well as decreased fuel for generation costs partially due to the removal of Colstrip from our generation portfolio. These decreases were partially offset by a decrease in deferrals under the ERM. Natural gas utility resource costs decreased due to decreases in the amortization of costs associated with the CCA and net deferrals and amortizations of costs under PGAs, as well as a decrease in volumes of natural gas purchased.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operating expenses remained unchanged, with decreased expenses from Colstrip offset by expected increases in other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Utility depreciation and amortization decreased primarily due to our exit from Colstrip in 2026. In anticipation of the exit, we had accelerated depreciation, as we were required to recover costs from Washington customers by the end of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Increases in earnings from other activity are primarily due to net investment gains, compared to net investment losses in the first quarter of 2025. </w:t>
      </w:r>
    </w:p>
    <w:p>
      <w:pPr>
        <w:pStyle w:val="TextBody"/>
        <w:bidi w:val="0"/>
        <w:spacing w:before="240" w:after="283"/>
        <w:jc w:val="left"/>
        <w:rPr>
          <w:rFonts w:ascii="Times New Roman" w:hAnsi="Times New Roman"/>
          <w:b/>
          <w:color w:val="000000"/>
          <w:sz w:val="20"/>
          <w:u w:val="single"/>
        </w:rPr>
      </w:pPr>
      <w:bookmarkStart w:id="33" w:name="nongaap_financial_measures"/>
      <w:bookmarkEnd w:id="33"/>
      <w:r>
        <w:rPr>
          <w:rFonts w:ascii="Times New Roman" w:hAnsi="Times New Roman"/>
          <w:b/>
          <w:color w:val="000000"/>
          <w:sz w:val="20"/>
          <w:u w:val="single"/>
        </w:rPr>
        <w:t>Non-GAAP Financial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discussion for Avista Utilities includes two financial measures considered “non-GAAP financial measures”: electric utility margin and natural gas utility margin.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Generally, a non-GAAP financial measure is a numerical measure of a company's financial performance, financial position or cash flows that excludes (or includes) amounts included (excluded) in the most directly comparable measure calculated and presented in accordance with GAAP. Electric utility margin is electric operating revenues less electric resource costs, while natural gas utility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margin is natural gas operating revenues less natural gas resource costs. The most directly comparable GAAP financial measure to electric and natural gas utility margin is utility operating revenues as presented in "Note 14 of the Notes to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presentation of electric utility margin and natural gas utility margin is intended to enhance the understanding of operating performance. We use these measures internally and believe they provide useful information to investors in their analysis of how changes in loads (due to weather, economic or other conditions), rates, supply costs and other factors impact our results of operations. Changes in loads, as well as power and natural gas supply costs, are generally deferred and recovered from customers through regulatory accounting mechanisms. Accordingly, the analysis of utility margin generally excludes most of the change in revenue resulting from these regulatory mechanisms. We present electric and natural gas utility margin separately below for Avista Utilities since each business has different cost sources, cost recovery mechanisms and jurisdictions, so we believe separate analysis is beneficial. These measures are not intended to replace utility operating revenues as determined in accordance with GAAP as an indicator of operating performance. Reconciliations of operating revenues to utility margin are set forth below.</w:t>
      </w:r>
    </w:p>
    <w:p>
      <w:pPr>
        <w:pStyle w:val="TextBody"/>
        <w:bidi w:val="0"/>
        <w:spacing w:before="240" w:after="283"/>
        <w:jc w:val="left"/>
        <w:rPr>
          <w:rFonts w:ascii="Times New Roman" w:hAnsi="Times New Roman"/>
          <w:sz w:val="20"/>
        </w:rPr>
      </w:pPr>
      <w:bookmarkStart w:id="34" w:name="results_operations_avista_utilities"/>
      <w:bookmarkEnd w:id="34"/>
      <w:r>
        <w:rPr>
          <w:rFonts w:ascii="Times New Roman" w:hAnsi="Times New Roman"/>
          <w:b/>
          <w:color w:val="000000"/>
          <w:sz w:val="20"/>
          <w:u w:val="single"/>
        </w:rPr>
        <w:t>Results of Operations</w:t>
      </w:r>
      <w:r>
        <w:rPr>
          <w:rFonts w:ascii="Times New Roman" w:hAnsi="Times New Roman"/>
          <w:color w:val="000000"/>
          <w:sz w:val="20"/>
          <w:u w:val="single"/>
        </w:rPr>
        <w:t xml:space="preserve"> </w:t>
      </w:r>
      <w:r>
        <w:rPr>
          <w:rFonts w:ascii="Times New Roman" w:hAnsi="Times New Roman"/>
          <w:b/>
          <w:color w:val="000000"/>
          <w:sz w:val="20"/>
          <w:u w:val="single"/>
        </w:rPr>
        <w:t>- Avista Utilities</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Resource Optimization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engage in resource optimization, which involves the selection from available energy resources to serve our load obligations and the use of these resources to capture economic value through wholesale market transactions; this is ultimately intended to lower net power and natural gas supply costs. Our resource optimization transactions can include physical sales and purchases of electric capacity and energy, fuel for electric generation, natural gas to optimize use of pipeline and storage capacity, as well as financial derivative contracts related to capacity, energy, fuel and fuel transportation. See our 2025 Form 10-K for further discussion of our optimization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typically enter into multiple transactions simultaneously to capture value. Even though these transactions are considered together when determining the net impact, they are recorded in separate items within components of utility operating revenue and resource costs and can cause fluctuations in each item. Gains and losses on financial derivative contracts are included in certain line items below (such as wholesale sales and purchases of power and natural gas, sales of fuel and other fuel costs). The ERM, PCA and PGAs are based on net supply costs and consider all transactions related to resource procurement and optimization (both physical and financial).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Three months ended March 31, 2026 compared to the three months ended March 31,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Utility Operating Revenues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Customers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Avista Utilities' average number of electric and natural gas retail customers for the three months ended March 31, 2026 and 2025:</w:t>
      </w:r>
    </w:p>
    <w:tbl>
      <w:tblPr>
        <w:tblW w:w="8047" w:type="dxa"/>
        <w:jc w:val="left"/>
        <w:tblInd w:w="0" w:type="dxa"/>
        <w:tblLayout w:type="fixed"/>
        <w:tblCellMar>
          <w:top w:w="28" w:type="dxa"/>
          <w:left w:w="28" w:type="dxa"/>
          <w:bottom w:w="28" w:type="dxa"/>
          <w:right w:w="28" w:type="dxa"/>
        </w:tblCellMar>
      </w:tblPr>
      <w:tblGrid>
        <w:gridCol w:w="2926"/>
        <w:gridCol w:w="146"/>
        <w:gridCol w:w="146"/>
        <w:gridCol w:w="781"/>
        <w:gridCol w:w="146"/>
        <w:gridCol w:w="146"/>
        <w:gridCol w:w="146"/>
        <w:gridCol w:w="781"/>
        <w:gridCol w:w="146"/>
        <w:gridCol w:w="146"/>
        <w:gridCol w:w="146"/>
        <w:gridCol w:w="781"/>
        <w:gridCol w:w="146"/>
        <w:gridCol w:w="146"/>
        <w:gridCol w:w="146"/>
        <w:gridCol w:w="781"/>
        <w:gridCol w:w="3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Electric Customers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Natural Gas Customers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Residential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379,390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345,712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37,397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Interruptible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Industrial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Public street and highway lighting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retail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427,128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422,297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385,496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383,344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graphs present Avista Utilities' electric operating revenues and megawatt-hour (MWh) sales for the three months ended March 31, 2026 and 2025 (dollars in millions and MWhs in thousands):</w:t>
      </w:r>
    </w:p>
    <w:p>
      <w:pPr>
        <w:pStyle w:val="TextBody"/>
        <w:bidi w:val="0"/>
        <w:spacing w:before="120" w:after="283"/>
        <w:jc w:val="center"/>
        <w:rPr/>
      </w:pPr>
      <w:r>
        <w:rPr/>
        <w:drawing>
          <wp:inline distT="0" distB="0" distL="0" distR="0">
            <wp:extent cx="6858000" cy="3095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3095625"/>
                    </a:xfrm>
                    <a:prstGeom prst="rect">
                      <a:avLst/>
                    </a:prstGeom>
                  </pic:spPr>
                </pic:pic>
              </a:graphicData>
            </a:graphic>
          </wp:inline>
        </w:drawing>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balance includes public street and highway lighting, which is considered part of retail electric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electric operating revenues in the graph above include intracompany sales of $0 million and $1 million for the three months ended March 31, 2026 and 2025, respectively.</w:t>
      </w:r>
    </w:p>
    <w:p>
      <w:pPr>
        <w:pStyle w:val="TextBody"/>
        <w:bidi w:val="0"/>
        <w:spacing w:before="120" w:after="283"/>
        <w:jc w:val="center"/>
        <w:rPr/>
      </w:pPr>
      <w:r>
        <w:rPr/>
        <w:drawing>
          <wp:inline distT="0" distB="0" distL="0" distR="0">
            <wp:extent cx="6858000" cy="3095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858000" cy="3095625"/>
                    </a:xfrm>
                    <a:prstGeom prst="rect">
                      <a:avLst/>
                    </a:prstGeom>
                  </pic:spPr>
                </pic:pic>
              </a:graphicData>
            </a:graphic>
          </wp:inline>
        </w:drawing>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current year decoupling deferrals and the amortization of prior year decoupling deferrals reflected in utility electric operating revenues for the three months ended March 31 (dollars in millions):</w:t>
      </w:r>
    </w:p>
    <w:tbl>
      <w:tblPr>
        <w:tblW w:w="6942" w:type="dxa"/>
        <w:jc w:val="left"/>
        <w:tblInd w:w="0" w:type="dxa"/>
        <w:tblLayout w:type="fixed"/>
        <w:tblCellMar>
          <w:top w:w="28" w:type="dxa"/>
          <w:left w:w="28" w:type="dxa"/>
          <w:bottom w:w="28" w:type="dxa"/>
          <w:right w:w="28" w:type="dxa"/>
        </w:tblCellMar>
      </w:tblPr>
      <w:tblGrid>
        <w:gridCol w:w="4216"/>
        <w:gridCol w:w="146"/>
        <w:gridCol w:w="342"/>
        <w:gridCol w:w="439"/>
        <w:gridCol w:w="269"/>
        <w:gridCol w:w="236"/>
        <w:gridCol w:w="342"/>
        <w:gridCol w:w="561"/>
        <w:gridCol w:w="39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Electric Decoupling Revenues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year decoupling deferrals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prior year decoupling deferrals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electric decoupling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Positive amounts are increases in decoupling revenue in the current year due to lower customer usage and will be surcharged to customers in future years. Negative amounts are decreases in decoupling revenue in the current year due to higher customer usage and will be rebated to customers in future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Positive amounts are increases in decoupling revenue in the current year and are related to the amortization of rebate balances that resulted in prior years due to higher customer usage and are being refunded to customers (causing a corresponding decrease in retail revenue from customers) in the current year. Negative amounts are decreases in decoupling revenue in the current year and are related to the amortization of surcharge balances that resulted in prior years due to lower customer usage and are being surcharged to customers (causing a corresponding increase in retail revenue from customers) in the current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electric revenues decreased $17 million for the first quarter of 2026 as compared to the first quarter of 2025. The primary changes that occurred during the period were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$5 million decrease in retail electric revenue due to a decrease in MWhs sold (decreased revenues by $21 million), partially offset by an increase in retail rates (increased revenues by $16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Retail rates increased mainly due to the effects of our general rate cases, including base rate increases associated with higher authorized power supply expenses resulting from removing Colstrip from our generation portfolio. These increases to base rates were partially offset by the removal of revenues related to recovery of Colstrip related costs other than power supply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Retail sales volumes decreased due to milder weather, which reduced customer usage. Residential and commercial use per customer decreased 10 percent and 6 percent, respectively. Heating degree days in Spokane were 90 percent of the historical average during the first quarter of 2026, while they were consistent with the historical average during the first quarter of 2025.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$27 million decrease in wholesale electric revenues due to a decrease in sales prices (decreased revenues $26 million) and a decrease in sales volumes (decreased revenues $1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$14 million increase in electric decoupling revenue primarily due to current year surcharge deferrals associated with decreased customer usage compared to rebate deferrals in the first quarter of 2025.</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graphs present Avista Utilities' natural gas operating revenues and therms delivered for the three months ended March 31, 2026 and 2025 (dollars in millions and therms in thousands):</w:t>
      </w:r>
    </w:p>
    <w:p>
      <w:pPr>
        <w:pStyle w:val="TextBody"/>
        <w:bidi w:val="0"/>
        <w:spacing w:before="120" w:after="283"/>
        <w:jc w:val="center"/>
        <w:rPr/>
      </w:pPr>
      <w:r>
        <w:rPr/>
        <w:drawing>
          <wp:inline distT="0" distB="0" distL="0" distR="0">
            <wp:extent cx="6858000" cy="3095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58000" cy="3095625"/>
                    </a:xfrm>
                    <a:prstGeom prst="rect">
                      <a:avLst/>
                    </a:prstGeom>
                  </pic:spPr>
                </pic:pic>
              </a:graphicData>
            </a:graphic>
          </wp:inline>
        </w:drawing>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balance includes interruptible and industrial revenues, which are considered part of retail natural gas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natural gas operating revenues in the graph above include intracompany sales of $1 million and $3 million for the three months ended March 31, 2026 and 2025, respectively.</w:t>
      </w:r>
    </w:p>
    <w:p>
      <w:pPr>
        <w:pStyle w:val="TextBody"/>
        <w:bidi w:val="0"/>
        <w:spacing w:before="120" w:after="283"/>
        <w:jc w:val="center"/>
        <w:rPr/>
      </w:pPr>
      <w:r>
        <w:rPr/>
        <w:drawing>
          <wp:inline distT="0" distB="0" distL="0" distR="0">
            <wp:extent cx="6858000" cy="3095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858000" cy="3095625"/>
                    </a:xfrm>
                    <a:prstGeom prst="rect">
                      <a:avLst/>
                    </a:prstGeom>
                  </pic:spPr>
                </pic:pic>
              </a:graphicData>
            </a:graphic>
          </wp:inline>
        </w:drawing>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80" w:after="120"/>
        <w:jc w:val="left"/>
        <w:rPr>
          <w:rFonts w:ascii="Times New Roman" w:hAnsi="Times New Roman"/>
          <w:color w:val="000000"/>
          <w:sz w:val="20"/>
        </w:rPr>
      </w:pPr>
      <w:r>
        <w:rPr>
          <w:rFonts w:ascii="Times New Roman" w:hAnsi="Times New Roman"/>
          <w:color w:val="000000"/>
          <w:sz w:val="20"/>
        </w:rPr>
        <w:t>The following table presents the current year decoupling deferrals and the amortization of prior year decoupling deferrals reflected in utility natural gas operating revenues for the three months ended March 31 (dollars in millions):</w:t>
      </w:r>
    </w:p>
    <w:tbl>
      <w:tblPr>
        <w:tblW w:w="7246" w:type="dxa"/>
        <w:jc w:val="left"/>
        <w:tblInd w:w="0" w:type="dxa"/>
        <w:tblLayout w:type="fixed"/>
        <w:tblCellMar>
          <w:top w:w="28" w:type="dxa"/>
          <w:left w:w="28" w:type="dxa"/>
          <w:bottom w:w="28" w:type="dxa"/>
          <w:right w:w="28" w:type="dxa"/>
        </w:tblCellMar>
      </w:tblPr>
      <w:tblGrid>
        <w:gridCol w:w="4216"/>
        <w:gridCol w:w="146"/>
        <w:gridCol w:w="395"/>
        <w:gridCol w:w="592"/>
        <w:gridCol w:w="311"/>
        <w:gridCol w:w="273"/>
        <w:gridCol w:w="395"/>
        <w:gridCol w:w="507"/>
        <w:gridCol w:w="4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Natural Gas Decoupling Revenues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year decoupling deferrals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prior year decoupling deferrals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natural gas decoupling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Positive amounts are increases in decoupling revenue in the current year due to lower customer usage and will be surcharged to customers in future years. Negative amounts are decreases in decoupling revenue in the current year due to higher customer usage and will be rebated to customers in future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Positive amounts are increases in decoupling revenue in the current year and are related to the amortization of rebate balances that resulted in prior years due to higher customer usage and are being refunded to customers (causing a corresponding decrease in retail revenue from customers) in the current year. Negative amounts are decreases in decoupling revenue in the current year and are related to the amortization of surcharge balances that resulted in prior years due to lower customer usage and are being surcharged to customers (causing a corresponding increase in retail revenue from customers) in the current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natural gas revenues decreased $34 million for the first quarter of 2026 as compared to the first quarter of 2025. The primary changes that occurred during the period were as follows: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$50 million decrease in natural gas retail revenues (including industrial, which is included in other) due to a decrease in retail rates (decreased revenues $27 million) and decreased sales volumes (decreased revenues $23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Retail rates decreased mainly due to PGA rate decreases and rebates to Washington customers for revenues related to the sale of CCA emissions credits, neither of which impact utility margin. These decreases were partially offset by increases to base rates resulting from our general rate cases.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Retail sales volumes decreased due to milder weather, which reduced customer usage. Residential and commercial use per customer decreased 15 percent and 14 percent, respectively. Heating degree days in Spokane were 90 percent of the historical average during the first quarter of 2026, while they were consistent with the historical average in the first quarter of 2025.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$8 million decrease in wholesale natural gas revenues due to a decrease in prices (decreased revenues $6 million) and a decrease in volumes (decreased revenues $2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$17 million increase in natural gas decoupling revenues primarily due to increased surcharge deferrals in the current year associated with lower customer usage.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$7 million increase in other gas revenues primarily due to the amortization of previously deferred revenues associated with the sale of CCA emissions credits. We amortize the deferred revenues as they are passed on to customers through decreases in retail rates. The increase in other revenues was offset by decreased retail rates as discussed above, resulting in no impact to utility margin. This increase was partially offset by a decrease in transportation revenue, as well as a provision for rate refunds associated with overearnings in Washington recorded in the first quarter of 2026.</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Utility Resource Costs</w:t>
      </w:r>
    </w:p>
    <w:p>
      <w:pPr>
        <w:pStyle w:val="TextBody"/>
        <w:bidi w:val="0"/>
        <w:jc w:val="left"/>
        <w:rPr>
          <w:rFonts w:ascii="Times New Roman" w:hAnsi="Times New Roman"/>
          <w:color w:val="000000"/>
          <w:sz w:val="20"/>
        </w:rPr>
      </w:pPr>
      <w:r>
        <w:rPr>
          <w:rFonts w:ascii="Times New Roman" w:hAnsi="Times New Roman"/>
          <w:color w:val="000000"/>
          <w:sz w:val="20"/>
        </w:rPr>
        <w:t>The following graph presents Avista Utilities' electric resource costs for the three months ended March 31, 2026 and 2025 (dollars in millions):</w:t>
      </w:r>
    </w:p>
    <w:p>
      <w:pPr>
        <w:pStyle w:val="TextBody"/>
        <w:bidi w:val="0"/>
        <w:spacing w:before="120" w:after="283"/>
        <w:jc w:val="center"/>
        <w:rPr/>
      </w:pPr>
      <w:r>
        <w:rPr/>
        <w:drawing>
          <wp:inline distT="0" distB="0" distL="0" distR="0">
            <wp:extent cx="6858000" cy="3095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858000" cy="3095625"/>
                    </a:xfrm>
                    <a:prstGeom prst="rect">
                      <a:avLst/>
                    </a:prstGeom>
                  </pic:spPr>
                </pic:pic>
              </a:graphicData>
            </a:graphic>
          </wp:inline>
        </w:drawing>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electric resource costs in the graph above include intracompany resource costs of $1 million and $3 million for the three months ended March 31, 2026 and 2025,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electric resource costs decreased $14 million for the first quarter of 2026 as compared to the first quarter of 2025. The changes that occurred during the period were as follows: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$7 million decrease in power purchased due to a decrease in wholesale prices (decreased costs $8 million), partially offset by an increase in the volume of power purchases (increased costs $1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$22 million decrease in fuel for generation due to decreased thermal generation compared to the prior year due to increased hydroelectric generation and the removal of Colstrip from our generation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$13 million increase in other electric resource costs primarily related to a decrease in deferred costs under the ERM. The decrease in deferred costs was due to an increase in authorized power supply costs primarily due to the removal of Colstrip from our generation portfolio. There were also increased costs related to our customer assistance payment programs (low-income rate assistance and demand side management).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graph presents Avista Utilities' natural gas resource costs for the three months ended March 31, 2026 and 2025 (dollars in millions):</w:t>
      </w:r>
    </w:p>
    <w:p>
      <w:pPr>
        <w:pStyle w:val="TextBody"/>
        <w:bidi w:val="0"/>
        <w:spacing w:before="120" w:after="283"/>
        <w:jc w:val="center"/>
        <w:rPr/>
      </w:pPr>
      <w:r>
        <w:rPr/>
        <w:drawing>
          <wp:inline distT="0" distB="0" distL="0" distR="0">
            <wp:extent cx="6858000" cy="30956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858000" cy="3095625"/>
                    </a:xfrm>
                    <a:prstGeom prst="rect">
                      <a:avLst/>
                    </a:prstGeom>
                  </pic:spPr>
                </pic:pic>
              </a:graphicData>
            </a:graphic>
          </wp:inline>
        </w:drawing>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natural gas resource costs in the graph above include intracompany resource costs of $0 million and $1 million for the three months ended March 31, 2026 and 2025,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natural gas resource costs decreased $39 million for the first quarter of 2026 as compared to the first quarter of 2025 due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$10 million decrease in natural gas purchased due to a decrease in the volumes purchased.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$29 million decrease in other costs primarily related to a decrease in the amortization of costs associated with the CCA that were recovered from customers, resulting in no impact to utility margin, as well as a decrease in net deferrals and amortizations of previously deferred costs under our PGAs.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Utility Margin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reconciles Avista Utilities' operating revenues, as presented in "Note 14 of the Notes to Condensed Consolidated Financial Statements", to the Non-GAAP financial measure utility margin for the three months ended March 31, 2026 and 2025 (dollars in millions):</w:t>
      </w:r>
    </w:p>
    <w:tbl>
      <w:tblPr>
        <w:tblW w:w="9023" w:type="dxa"/>
        <w:jc w:val="left"/>
        <w:tblInd w:w="0" w:type="dxa"/>
        <w:tblLayout w:type="fixed"/>
        <w:tblCellMar>
          <w:top w:w="28" w:type="dxa"/>
          <w:left w:w="28" w:type="dxa"/>
          <w:bottom w:w="28" w:type="dxa"/>
          <w:right w:w="28" w:type="dxa"/>
        </w:tblCellMar>
      </w:tblPr>
      <w:tblGrid>
        <w:gridCol w:w="1696"/>
        <w:gridCol w:w="146"/>
        <w:gridCol w:w="211"/>
        <w:gridCol w:w="421"/>
        <w:gridCol w:w="146"/>
        <w:gridCol w:w="146"/>
        <w:gridCol w:w="211"/>
        <w:gridCol w:w="421"/>
        <w:gridCol w:w="146"/>
        <w:gridCol w:w="146"/>
        <w:gridCol w:w="211"/>
        <w:gridCol w:w="421"/>
        <w:gridCol w:w="146"/>
        <w:gridCol w:w="146"/>
        <w:gridCol w:w="211"/>
        <w:gridCol w:w="421"/>
        <w:gridCol w:w="146"/>
        <w:gridCol w:w="146"/>
        <w:gridCol w:w="211"/>
        <w:gridCol w:w="346"/>
        <w:gridCol w:w="166"/>
        <w:gridCol w:w="146"/>
        <w:gridCol w:w="211"/>
        <w:gridCol w:w="346"/>
        <w:gridCol w:w="166"/>
        <w:gridCol w:w="146"/>
        <w:gridCol w:w="211"/>
        <w:gridCol w:w="421"/>
        <w:gridCol w:w="146"/>
        <w:gridCol w:w="146"/>
        <w:gridCol w:w="211"/>
        <w:gridCol w:w="421"/>
        <w:gridCol w:w="1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Electric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Natural Gas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Intracompany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Resource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Utility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Electric utility margin decreased $3 million primarily due to the removal of revenues related to the recovery of Colstrip capital and operating costs, partially offset by other effects of our general rate cases. Natural gas utility margin increased $5 million primarily due to the effects of general rate cases.</w:t>
      </w:r>
    </w:p>
    <w:p>
      <w:pPr>
        <w:pStyle w:val="TextBody"/>
        <w:bidi w:val="0"/>
        <w:jc w:val="left"/>
        <w:rPr>
          <w:rFonts w:ascii="Times New Roman" w:hAnsi="Times New Roman"/>
          <w:color w:val="000000"/>
          <w:sz w:val="20"/>
        </w:rPr>
      </w:pPr>
      <w:r>
        <w:rPr>
          <w:rFonts w:ascii="Times New Roman" w:hAnsi="Times New Roman"/>
          <w:color w:val="000000"/>
          <w:sz w:val="20"/>
        </w:rPr>
        <w:t xml:space="preserve">In the first quarter of 2026 we had a pre-tax expense of $1 million under the ERM in Washington compared to a pre-tax expense of $7 million in the first quarter of 2025.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Intracompany revenues and resource costs represent purchases and sales of natural gas between our natural gas distribution operations and our electric generation operations (as fuel for our generation plants). These transactions are eliminated in the presentation of total results for Avista Utilities and in the condensed consolidated financial statements but are included in the separate results for electric and natural gas presented above.</w:t>
      </w:r>
    </w:p>
    <w:p>
      <w:pPr>
        <w:pStyle w:val="TextBody"/>
        <w:bidi w:val="0"/>
        <w:spacing w:before="240" w:after="283"/>
        <w:jc w:val="left"/>
        <w:rPr>
          <w:rFonts w:ascii="Times New Roman" w:hAnsi="Times New Roman"/>
          <w:b/>
          <w:color w:val="000000"/>
          <w:sz w:val="20"/>
          <w:u w:val="single"/>
        </w:rPr>
      </w:pPr>
      <w:bookmarkStart w:id="35" w:name="results_operations_alaska_electric_light"/>
      <w:bookmarkEnd w:id="35"/>
      <w:r>
        <w:rPr>
          <w:rFonts w:ascii="Times New Roman" w:hAnsi="Times New Roman"/>
          <w:b/>
          <w:color w:val="000000"/>
          <w:sz w:val="20"/>
          <w:u w:val="single"/>
        </w:rPr>
        <w:t>Results of Operations - Alaska Electric Light and Power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first quarter of 2026 and 2025, net income for AEL&amp;P was $4 million, respectively. </w:t>
      </w:r>
    </w:p>
    <w:p>
      <w:pPr>
        <w:pStyle w:val="TextBody"/>
        <w:bidi w:val="0"/>
        <w:spacing w:before="120" w:after="283"/>
        <w:jc w:val="left"/>
        <w:rPr>
          <w:rFonts w:ascii="Times New Roman" w:hAnsi="Times New Roman"/>
          <w:b/>
          <w:color w:val="000000"/>
          <w:sz w:val="20"/>
          <w:u w:val="single"/>
        </w:rPr>
      </w:pPr>
      <w:bookmarkStart w:id="36" w:name="results_of_operations_other_businesses"/>
      <w:bookmarkEnd w:id="36"/>
      <w:r>
        <w:rPr>
          <w:rFonts w:ascii="Times New Roman" w:hAnsi="Times New Roman"/>
          <w:b/>
          <w:color w:val="000000"/>
          <w:sz w:val="20"/>
          <w:u w:val="single"/>
        </w:rPr>
        <w:t>Results of Operations - Other Businesses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other businesses had net income of $1 million for the three months ended March 31, 2026 compared to a net loss of $3 million for the three months ended March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fluctuation in results is primarily related to net investment gains in the first quarter of 2026, compared to net investment losses in the first quarter of 2025.</w:t>
      </w:r>
    </w:p>
    <w:p>
      <w:pPr>
        <w:pStyle w:val="TextBody"/>
        <w:bidi w:val="0"/>
        <w:spacing w:before="240" w:after="283"/>
        <w:jc w:val="left"/>
        <w:rPr>
          <w:rFonts w:ascii="Times New Roman" w:hAnsi="Times New Roman"/>
          <w:b/>
          <w:color w:val="000000"/>
          <w:sz w:val="20"/>
          <w:u w:val="single"/>
        </w:rPr>
      </w:pPr>
      <w:bookmarkStart w:id="37" w:name="critical_accounting_policies"/>
      <w:bookmarkEnd w:id="37"/>
      <w:r>
        <w:rPr>
          <w:rFonts w:ascii="Times New Roman" w:hAnsi="Times New Roman"/>
          <w:b/>
          <w:color w:val="000000"/>
          <w:sz w:val="20"/>
          <w:u w:val="single"/>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our condensed consolidated financial statements in conformity with GAAP requires us to make estimates and assumptions that affect amounts reported in the condensed consolidated financial statements. Changes in these estimates and assumptions are considered reasonably possible and may have a material effect on our condensed consolidated financial statements and thus, actual results could differ from the amounts reported and disclosed herein. Our critical accounting policies that require the use of estimates and assumptions were discussed in detail in the 2025 Form 10-K and have not changed materially.</w:t>
      </w:r>
    </w:p>
    <w:p>
      <w:pPr>
        <w:pStyle w:val="TextBody"/>
        <w:bidi w:val="0"/>
        <w:spacing w:before="240" w:after="283"/>
        <w:jc w:val="left"/>
        <w:rPr>
          <w:rFonts w:ascii="Times New Roman" w:hAnsi="Times New Roman"/>
          <w:b/>
          <w:color w:val="000000"/>
          <w:sz w:val="20"/>
          <w:u w:val="single"/>
        </w:rPr>
      </w:pPr>
      <w:bookmarkStart w:id="38" w:name="liquidity_and_capital_resources"/>
      <w:bookmarkEnd w:id="38"/>
      <w:r>
        <w:rPr>
          <w:rFonts w:ascii="Times New Roman" w:hAnsi="Times New Roman"/>
          <w:b/>
          <w:color w:val="000000"/>
          <w:sz w:val="20"/>
          <w:u w:val="single"/>
        </w:rPr>
        <w:t>Liquidity and Capital Resources</w:t>
      </w:r>
    </w:p>
    <w:p>
      <w:pPr>
        <w:pStyle w:val="TextBody"/>
        <w:bidi w:val="0"/>
        <w:spacing w:before="120" w:after="283"/>
        <w:jc w:val="left"/>
        <w:rPr>
          <w:rFonts w:ascii="Times New Roman" w:hAnsi="Times New Roman"/>
          <w:b/>
          <w:color w:val="000000"/>
          <w:sz w:val="20"/>
          <w:u w:val="single"/>
        </w:rPr>
      </w:pPr>
      <w:bookmarkStart w:id="39" w:name="overall_liquidity"/>
      <w:bookmarkEnd w:id="39"/>
      <w:r>
        <w:rPr>
          <w:rFonts w:ascii="Times New Roman" w:hAnsi="Times New Roman"/>
          <w:b/>
          <w:color w:val="000000"/>
          <w:sz w:val="20"/>
          <w:u w:val="single"/>
        </w:rPr>
        <w:t>Overall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sources of overall liquidity and the requirements for liquidity have not materially changed in the three months ended March 31, 2026. See the 2025 Form 10-K for further discussion.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we had $110 million of available liquidity under the Avista Corp. committed line of credit, $46 million of available liquidity under our letter of credit facility, and $25 million under the AEL&amp;P committed line of credit. With our existing credit facilities and the expected issuances of common stock and long-term debt within the next year, we believe we have adequate liquidity to meet our needs for the next 12 months.</w:t>
      </w:r>
    </w:p>
    <w:p>
      <w:pPr>
        <w:pStyle w:val="TextBody"/>
        <w:bidi w:val="0"/>
        <w:spacing w:before="120" w:after="283"/>
        <w:jc w:val="left"/>
        <w:rPr>
          <w:rFonts w:ascii="Times New Roman" w:hAnsi="Times New Roman"/>
          <w:b/>
          <w:color w:val="000000"/>
          <w:sz w:val="20"/>
          <w:u w:val="single"/>
        </w:rPr>
      </w:pPr>
      <w:bookmarkStart w:id="40" w:name="review_of_cash_flow_statement"/>
      <w:bookmarkEnd w:id="40"/>
      <w:r>
        <w:rPr>
          <w:rFonts w:ascii="Times New Roman" w:hAnsi="Times New Roman"/>
          <w:b/>
          <w:color w:val="000000"/>
          <w:sz w:val="20"/>
          <w:u w:val="single"/>
        </w:rPr>
        <w:t>Review of Condensed Consolidated Cash Flow Statement</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operating activities was $179 million for the three months ended March 31, 2026, compared to $184 million for the three months ended March 31, 2025. There was a decrease of $31 million associated with net decoupling deferrals and amortizations, primarily associated with decoupling surcharges recognized in the first quarter of 2026 due to milder weather and decreased customer usage. Changes in other current liabilities and accounts payable decreased operating cash flows by $37 million compared to the first quarter of 2025, primarily due to the timing of a litigation settlement accrual during the first quarter of 2025, as well as decreased payables for natural gas purchases as volumes purchased in 2026 decreased. These decreases were partially offset by the change in other current assets, which increased operating cash flows by $60 million, due to timing of prepayments and insurance proceeds receivables recorded during the first quarter of 2025.</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was $148 million for the three months ended March 31, 2026, compared to $103 million for the three months ended March 31, 2025. We paid $150 million for utility capital expenditures in 2026, compared to $103 million in 2025.</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financing activities was $32 million for the three months ended March 31, 2026, compared to $94 million for the three months ended March 31, 2025. In the first quarter of 2026, we repaid $3 million in short term borrowings, compared to $67 million in the first quarter of 2025. We issued $14 million of common stock and paid $41 million in dividends in the three months ended March 31, 2026, compared to issuing $16 million of common stock and paying $40 million in dividends in the three months ended March 31, 2025. </w:t>
      </w:r>
    </w:p>
    <w:p>
      <w:pPr>
        <w:pStyle w:val="TextBody"/>
        <w:bidi w:val="0"/>
        <w:spacing w:before="120" w:after="283"/>
        <w:jc w:val="left"/>
        <w:rPr>
          <w:rFonts w:ascii="Times New Roman" w:hAnsi="Times New Roman"/>
          <w:b/>
          <w:color w:val="000000"/>
          <w:sz w:val="20"/>
          <w:u w:val="single"/>
        </w:rPr>
      </w:pPr>
      <w:bookmarkStart w:id="41" w:name="capital_resources"/>
      <w:bookmarkEnd w:id="41"/>
      <w:r>
        <w:rPr>
          <w:rFonts w:ascii="Times New Roman" w:hAnsi="Times New Roman"/>
          <w:b/>
          <w:color w:val="000000"/>
          <w:sz w:val="20"/>
          <w:u w:val="single"/>
        </w:rPr>
        <w:t>Capital Resources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consolidated capital structure, including the current portion of long-term debt and short-term borrowings consisted of the following as of March 31, 2026 and December 31, 2025 (dollars in millions):</w:t>
      </w:r>
    </w:p>
    <w:tbl>
      <w:tblPr>
        <w:tblW w:w="8242" w:type="dxa"/>
        <w:jc w:val="left"/>
        <w:tblInd w:w="0" w:type="dxa"/>
        <w:tblLayout w:type="fixed"/>
        <w:tblCellMar>
          <w:top w:w="28" w:type="dxa"/>
          <w:left w:w="28" w:type="dxa"/>
          <w:bottom w:w="28" w:type="dxa"/>
          <w:right w:w="28" w:type="dxa"/>
        </w:tblCellMar>
      </w:tblPr>
      <w:tblGrid>
        <w:gridCol w:w="3706"/>
        <w:gridCol w:w="146"/>
        <w:gridCol w:w="211"/>
        <w:gridCol w:w="571"/>
        <w:gridCol w:w="146"/>
        <w:gridCol w:w="146"/>
        <w:gridCol w:w="146"/>
        <w:gridCol w:w="571"/>
        <w:gridCol w:w="271"/>
        <w:gridCol w:w="146"/>
        <w:gridCol w:w="211"/>
        <w:gridCol w:w="571"/>
        <w:gridCol w:w="146"/>
        <w:gridCol w:w="146"/>
        <w:gridCol w:w="146"/>
        <w:gridCol w:w="571"/>
        <w:gridCol w:w="39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Percent</w:t>
              <w:br/>
              <w:t>of total</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Percent</w:t>
              <w:br/>
              <w:t>of 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long-term debt and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to affiliated trusts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and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shareholders’ equity increased $67 million during the first quarter of 2026 primarily due to net income and the issuance of common stock, which was partially offset by dividends paid.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Short Term Borrowings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Avista Corp.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Avista Corp. has a committed line of credit with various financial institutions in the total amount of $500 million with an expiration date of June 2029. We may request that the lenders extend their commitments for an additional one-year period (subject to customary conditions).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have a continuing letter of credit agreement in the aggregate amount of $50 million. Either party may terminate the agreement at any time.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balances outstanding and available liquidity as of March 31, 2026 (dollars in millions): </w:t>
      </w:r>
    </w:p>
    <w:tbl>
      <w:tblPr>
        <w:tblW w:w="10205" w:type="dxa"/>
        <w:jc w:val="left"/>
        <w:tblInd w:w="0" w:type="dxa"/>
        <w:tblLayout w:type="fixed"/>
        <w:tblCellMar>
          <w:top w:w="28" w:type="dxa"/>
          <w:left w:w="28" w:type="dxa"/>
          <w:bottom w:w="28" w:type="dxa"/>
          <w:right w:w="28" w:type="dxa"/>
        </w:tblCellMar>
      </w:tblPr>
      <w:tblGrid>
        <w:gridCol w:w="2491"/>
        <w:gridCol w:w="346"/>
        <w:gridCol w:w="423"/>
        <w:gridCol w:w="850"/>
        <w:gridCol w:w="146"/>
        <w:gridCol w:w="146"/>
        <w:gridCol w:w="541"/>
        <w:gridCol w:w="1086"/>
        <w:gridCol w:w="146"/>
        <w:gridCol w:w="146"/>
        <w:gridCol w:w="1041"/>
        <w:gridCol w:w="1041"/>
        <w:gridCol w:w="146"/>
        <w:gridCol w:w="146"/>
        <w:gridCol w:w="437"/>
        <w:gridCol w:w="878"/>
        <w:gridCol w:w="195"/>
      </w:tblGrid>
      <w:tr>
        <w:trPr/>
        <w:tc>
          <w:tcPr>
            <w:tcW w:w="24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Amount of Facility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Borrowings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Letters of Credit Outstanding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Available Liquidity</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Line of Credit expiring June 2029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Letter of Credit Facility</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Letters of credit are not reflected on the Condensed Consolidated Balance Sheets. If a letter of credit were drawn upon by the holder, we would have an immediate obligation to reimburse the bank that issued that letter.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Avista Corp. credit facilities contain customary covenant and default provisions, including a change in control (as defined in the agreements). The events of default under each of the credit facilities also include a cross default from other indebtedness (as defined) and, in the case of the letter of credit agreement, other obligations. The committed line of credit agreement also includes a covenant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which does not permit our ratio of “consolidated total debt” to “consolidated total capitalization” to be greater than 65 percent at any time. As of March 31, 2026, we complied with this covenant with a ratio of 54.3 percent.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Balances outstanding and interest rates of borrowings (excluding letters of credit) under Avista Corp.'s lines of credit were as follows as of and for the three months ended March 31 (dollars in millions):</w:t>
      </w:r>
    </w:p>
    <w:tbl>
      <w:tblPr>
        <w:tblW w:w="6744" w:type="dxa"/>
        <w:jc w:val="left"/>
        <w:tblInd w:w="0" w:type="dxa"/>
        <w:tblLayout w:type="fixed"/>
        <w:tblCellMar>
          <w:top w:w="28" w:type="dxa"/>
          <w:left w:w="28" w:type="dxa"/>
          <w:bottom w:w="28" w:type="dxa"/>
          <w:right w:w="28" w:type="dxa"/>
        </w:tblCellMar>
      </w:tblPr>
      <w:tblGrid>
        <w:gridCol w:w="4311"/>
        <w:gridCol w:w="146"/>
        <w:gridCol w:w="211"/>
        <w:gridCol w:w="466"/>
        <w:gridCol w:w="271"/>
        <w:gridCol w:w="146"/>
        <w:gridCol w:w="211"/>
        <w:gridCol w:w="466"/>
        <w:gridCol w:w="516"/>
      </w:tblGrid>
      <w:tr>
        <w:trPr/>
        <w:tc>
          <w:tcPr>
            <w:tcW w:w="4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$500 million line of credit, expiring June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Maximum balance outstanding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Average balance outstanding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Average interest rate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Average interest rate at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AEL&amp;P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AEL&amp;P has a $25 million committed line of credit that expires in June 2028. As of March 31, 2026, there was no balance outstanding under this committed line of credit, and $25 million of available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AEL&amp;P credit facility contains customary covenants and default provisions including a covenant which does not permit the ratio of “consolidated total debt at AEL&amp;P” to “consolidated total capitalization at AEL&amp;P” (including the impact of the Snettisham obligation) to be greater than 67.5 percent at any time. As of March 31, 2026, AEL&amp;P complied with this covenant with a ratio of 48.7 percent.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Avista Corp. and its subsidiaries complied with all of the covenants of their financing agreements, and none of Avista Corp.'s subsidiaries constituted a “significant subsidiary” as defined in Avista Corp.'s committed line of credit.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8 of the Notes to Condensed Consolidated Financial Statements" for additional information regarding our short-term borrowing arrangements.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Liquidity Expectations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2026, we expect to issue $230 million of long-term debt. We expect to issue $90 million of common stock in 2026 (including $14 million issued through March 31, 2026). </w:t>
      </w:r>
    </w:p>
    <w:p>
      <w:pPr>
        <w:pStyle w:val="TextBody"/>
        <w:bidi w:val="0"/>
        <w:spacing w:before="120" w:after="283"/>
        <w:jc w:val="left"/>
        <w:rPr>
          <w:rFonts w:ascii="Times New Roman" w:hAnsi="Times New Roman"/>
          <w:b/>
          <w:color w:val="000000"/>
          <w:sz w:val="20"/>
          <w:u w:val="single"/>
        </w:rPr>
      </w:pPr>
      <w:bookmarkStart w:id="42" w:name="capital_expenditures"/>
      <w:bookmarkEnd w:id="42"/>
      <w:r>
        <w:rPr>
          <w:rFonts w:ascii="Times New Roman" w:hAnsi="Times New Roman"/>
          <w:b/>
          <w:color w:val="000000"/>
          <w:sz w:val="20"/>
          <w:u w:val="single"/>
        </w:rPr>
        <w:t>Capital Expenditures and Other Investments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are making capital investments to enhance service and system reliability for our customers and replace aging infrastructure, and expect base Avista Utilities' capital expenditures of the following (dollars in millions):</w:t>
      </w:r>
    </w:p>
    <w:tbl>
      <w:tblPr>
        <w:tblW w:w="8332" w:type="dxa"/>
        <w:jc w:val="left"/>
        <w:tblInd w:w="0" w:type="dxa"/>
        <w:tblLayout w:type="fixed"/>
        <w:tblCellMar>
          <w:top w:w="28" w:type="dxa"/>
          <w:left w:w="28" w:type="dxa"/>
          <w:bottom w:w="28" w:type="dxa"/>
          <w:right w:w="28" w:type="dxa"/>
        </w:tblCellMar>
      </w:tblPr>
      <w:tblGrid>
        <w:gridCol w:w="3586"/>
        <w:gridCol w:w="146"/>
        <w:gridCol w:w="211"/>
        <w:gridCol w:w="421"/>
        <w:gridCol w:w="146"/>
        <w:gridCol w:w="146"/>
        <w:gridCol w:w="211"/>
        <w:gridCol w:w="421"/>
        <w:gridCol w:w="146"/>
        <w:gridCol w:w="146"/>
        <w:gridCol w:w="211"/>
        <w:gridCol w:w="421"/>
        <w:gridCol w:w="146"/>
        <w:gridCol w:w="146"/>
        <w:gridCol w:w="211"/>
        <w:gridCol w:w="421"/>
        <w:gridCol w:w="146"/>
        <w:gridCol w:w="146"/>
        <w:gridCol w:w="146"/>
        <w:gridCol w:w="421"/>
        <w:gridCol w:w="146"/>
        <w:gridCol w:w="191"/>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base annual 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planned capital expenditures are subject to continuing review and adjustment. These estimates include expenditures for new projects identified through our 2025 request for proposal process. However, these estimates do not include potential expenditures that could result from integrating a new large load customer, incremental transmission projects like regional grid expansion, or additional generation. See the 2025 Form 10-K for further information on our expected capital expenditures.</w:t>
      </w:r>
    </w:p>
    <w:p>
      <w:pPr>
        <w:pStyle w:val="TextBody"/>
        <w:bidi w:val="0"/>
        <w:spacing w:before="120" w:after="283"/>
        <w:jc w:val="left"/>
        <w:rPr>
          <w:rFonts w:ascii="Times New Roman" w:hAnsi="Times New Roman"/>
          <w:b/>
          <w:color w:val="000000"/>
          <w:sz w:val="20"/>
          <w:u w:val="single"/>
        </w:rPr>
      </w:pPr>
      <w:bookmarkStart w:id="43" w:name="pension_plan"/>
      <w:bookmarkEnd w:id="43"/>
      <w:r>
        <w:rPr>
          <w:rFonts w:ascii="Times New Roman" w:hAnsi="Times New Roman"/>
          <w:b/>
          <w:color w:val="000000"/>
          <w:sz w:val="20"/>
          <w:u w:val="single"/>
        </w:rPr>
        <w:t>Pension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three months ended March 31, 2026, we contributed $3 million to the pension plan and we expect contributions to total $10 million in 2026. We expect to contribute a total of $40 million to the pension plan in the period 2027 through 2030, with an annual contribution of $10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final determination of pension plan contributions for future periods is subject to multiple variables, most of which are beyond our control, including changes to the fair value of pension plan assets, changes in actuarial assumptions (in particular, the discount rate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used in determining the benefit obligation), or changes in federal legislation. We may change our pension plan contributions in the future depending on changes to any variables, including those listed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6 of the Notes to Condensed Consolidated Financial Statements" for additional information regarding the pension plan.</w:t>
      </w:r>
    </w:p>
    <w:p>
      <w:pPr>
        <w:pStyle w:val="TextBody"/>
        <w:bidi w:val="0"/>
        <w:spacing w:before="240" w:after="283"/>
        <w:jc w:val="left"/>
        <w:rPr>
          <w:rFonts w:ascii="Times New Roman" w:hAnsi="Times New Roman"/>
          <w:b/>
          <w:color w:val="000000"/>
          <w:sz w:val="20"/>
          <w:u w:val="single"/>
        </w:rPr>
      </w:pPr>
      <w:bookmarkStart w:id="44" w:name="environmental_issues_and_contingencies"/>
      <w:bookmarkEnd w:id="44"/>
      <w:r>
        <w:rPr>
          <w:rFonts w:ascii="Times New Roman" w:hAnsi="Times New Roman"/>
          <w:b/>
          <w:color w:val="000000"/>
          <w:sz w:val="20"/>
          <w:u w:val="single"/>
        </w:rPr>
        <w:t>Environmental Issues and 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environmental issues and contingencies disclosures have not materially changed during the three months ended March 31, 2026 except as follows: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Presidential Executive 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16, 2026, the U.S. President's Administration issued an Executive Order entitled “Removing Regulatory Barriers to Affordable Home Construction,” with the stated objective of increasing housing supply and affordability by reducing federal, state and local regulatory requirements that the Administration views as increasing construction costs and slowing development. Among other things, the Executive Order directs various federal agencies to incentivize state and local governments to eliminate mandatory green or energy-efficient building codes, review and potentially eliminate “unduly burdensome or costly” federal energy efficiency requirements, revise permitting rules relating to stormwater, wetlands and water pollution controls, and shorten environmental review timelines for housing projects.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20, 2026, the U.S. President’s Administration issued several Executive Orders invoking authority under the Defense Production Act of 1950 (DPA) to (a) designate oil production and storage, coal and natural gas related power generation activities, electric facilities and supply chains, and large scale energy and energy-related infrastructure as critical resources under the DPA and (b) authorize the Department of Energy to use its authority under the DPA to expand and accelerate domestic capacity in each of these areas.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evaluating the extent to which potential changes from these Executive Orders may affect our financial results and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Oregon Legislation and Regulatory Actions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Climate Protection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2020, Oregon Governor Kate Brown issued Executive Order No. 20-04, “Directing State Agencies to Take Actions to Reduce and Regulate Greenhouse Gas Emissions.” The Executive Order launched rulemaking proceedings for Oregon agencies with jurisdiction over GHG-related matters, with the aim of reducing Oregon’s overall GHG emissions to 80 percent below 1990 levels by 2050. This Executive Order led to the Oregon Department of Environmental Quality (ODEQ) developing cap and reduce rules known as the CPP. The CPP originally became effective in January 2022, but was subsequently challenged and declared invalid on procedural grounds. Thereafter, the ODEQ reissued the CPP in November 2024 with updated compliance periods.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16, 2026, approximately 30 parties, consisting of businesses, utilities, trade associations and unions, filed a Petition challenging the repromulgated version of the CPP. Avista Corp. is a party to the litigation, which remains pending.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the 2025 Form 10-K for further discussion of our environmental issues and contingencies.</w:t>
      </w:r>
    </w:p>
    <w:p>
      <w:pPr>
        <w:pStyle w:val="TextBody"/>
        <w:bidi w:val="0"/>
        <w:spacing w:before="240" w:after="283"/>
        <w:jc w:val="left"/>
        <w:rPr>
          <w:rFonts w:ascii="Times New Roman" w:hAnsi="Times New Roman"/>
          <w:b/>
          <w:color w:val="000000"/>
          <w:sz w:val="20"/>
          <w:u w:val="single"/>
        </w:rPr>
      </w:pPr>
      <w:bookmarkStart w:id="45" w:name="enterprise_risk_management"/>
      <w:bookmarkEnd w:id="45"/>
      <w:r>
        <w:rPr>
          <w:rFonts w:ascii="Times New Roman" w:hAnsi="Times New Roman"/>
          <w:b/>
          <w:color w:val="000000"/>
          <w:sz w:val="20"/>
          <w:u w:val="single"/>
        </w:rPr>
        <w:t>Enterprise Risk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material risks to our businesses, and our mitigation process and procedures to address these risks, were discussed in our 2025 Form 10-K and have not materially changed during the three months ended March 31, 2026. See the 2025 Form 10-K.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Financial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risks have not materially changed during the three months ended March 31, 2026. Refer to the 2025 Form 10-K. The financial risks included below are required interim disclosures, even if they have not materially changed from December 31, 2025.</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Credit Risk</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March 31, 2026, we had cash deposited as collateral of $10 million and letters of credit of $4 million outstanding related to our energy contracts. Price movements and/or a downgrade in our credit ratings or other established credit criteria could impact further the amount of collateral required. See “Credit Ratings” in the 2025 Form 10-K for further information. For example, in addition to limiting our ability to conduct transactions, if our credit ratings were lowered to below “investment grade” based on our positions outstanding at March 31, 2026 (including both contracts considered derivatives and those considered non-derivatives), we would potentially be required to post the following additional collateral (dollars in millions):</w:t>
      </w:r>
    </w:p>
    <w:tbl>
      <w:tblPr>
        <w:tblW w:w="6863" w:type="dxa"/>
        <w:jc w:val="left"/>
        <w:tblInd w:w="0" w:type="dxa"/>
        <w:tblLayout w:type="fixed"/>
        <w:tblCellMar>
          <w:top w:w="28" w:type="dxa"/>
          <w:left w:w="28" w:type="dxa"/>
          <w:bottom w:w="28" w:type="dxa"/>
          <w:right w:w="28" w:type="dxa"/>
        </w:tblCellMar>
      </w:tblPr>
      <w:tblGrid>
        <w:gridCol w:w="5296"/>
        <w:gridCol w:w="146"/>
        <w:gridCol w:w="491"/>
        <w:gridCol w:w="739"/>
        <w:gridCol w:w="191"/>
      </w:tblGrid>
      <w:tr>
        <w:trPr/>
        <w:tc>
          <w:tcPr>
            <w:tcW w:w="5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collateral taking into account contractual thresholds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collateral without contractual thresholds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Energy Commodity Risk</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energy commodity risks have not materially changed during the three months ended March 31, 2026. See the 2025 Form 10-K. The following table presents energy commodity derivative fair values as a net asset or (liability) as of March 31, 2026 expected to be settled in each respective year (dollars in millions). As of March 31, 2026, there are no energy commodity derivative contracts outstanding with expected settlements after 2028:</w:t>
      </w:r>
    </w:p>
    <w:tbl>
      <w:tblPr>
        <w:tblW w:w="10205" w:type="dxa"/>
        <w:jc w:val="left"/>
        <w:tblInd w:w="0" w:type="dxa"/>
        <w:tblLayout w:type="fixed"/>
        <w:tblCellMar>
          <w:top w:w="28" w:type="dxa"/>
          <w:left w:w="28" w:type="dxa"/>
          <w:bottom w:w="28" w:type="dxa"/>
          <w:right w:w="28" w:type="dxa"/>
        </w:tblCellMar>
      </w:tblPr>
      <w:tblGrid>
        <w:gridCol w:w="1211"/>
        <w:gridCol w:w="146"/>
        <w:gridCol w:w="298"/>
        <w:gridCol w:w="489"/>
        <w:gridCol w:w="148"/>
        <w:gridCol w:w="148"/>
        <w:gridCol w:w="320"/>
        <w:gridCol w:w="527"/>
        <w:gridCol w:w="146"/>
        <w:gridCol w:w="146"/>
        <w:gridCol w:w="282"/>
        <w:gridCol w:w="505"/>
        <w:gridCol w:w="166"/>
        <w:gridCol w:w="146"/>
        <w:gridCol w:w="304"/>
        <w:gridCol w:w="543"/>
        <w:gridCol w:w="166"/>
        <w:gridCol w:w="146"/>
        <w:gridCol w:w="298"/>
        <w:gridCol w:w="489"/>
        <w:gridCol w:w="148"/>
        <w:gridCol w:w="148"/>
        <w:gridCol w:w="320"/>
        <w:gridCol w:w="527"/>
        <w:gridCol w:w="146"/>
        <w:gridCol w:w="146"/>
        <w:gridCol w:w="343"/>
        <w:gridCol w:w="444"/>
        <w:gridCol w:w="166"/>
        <w:gridCol w:w="146"/>
        <w:gridCol w:w="320"/>
        <w:gridCol w:w="527"/>
        <w:gridCol w:w="200"/>
      </w:tblGrid>
      <w:tr>
        <w:trPr/>
        <w:tc>
          <w:tcPr>
            <w:tcW w:w="1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Purchases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Sales</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Electric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Gas Derivatives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Electric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Gas Derivatives</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Physical (1)</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Financial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Physical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Financial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Physical (1)</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Financial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Physical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Financial (1)</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energy commodity derivative fair values as a net asset or (liability) as of December 31, 2025 expected to be settled in each respective year (dollars in millions). As of December 31, 2025, there are no energy commodity derivative contracts outstanding with expected settlements after 2028.</w:t>
      </w:r>
    </w:p>
    <w:tbl>
      <w:tblPr>
        <w:tblW w:w="10205" w:type="dxa"/>
        <w:jc w:val="left"/>
        <w:tblInd w:w="0" w:type="dxa"/>
        <w:tblLayout w:type="fixed"/>
        <w:tblCellMar>
          <w:top w:w="28" w:type="dxa"/>
          <w:left w:w="28" w:type="dxa"/>
          <w:bottom w:w="28" w:type="dxa"/>
          <w:right w:w="28" w:type="dxa"/>
        </w:tblCellMar>
      </w:tblPr>
      <w:tblGrid>
        <w:gridCol w:w="541"/>
        <w:gridCol w:w="146"/>
        <w:gridCol w:w="329"/>
        <w:gridCol w:w="541"/>
        <w:gridCol w:w="149"/>
        <w:gridCol w:w="149"/>
        <w:gridCol w:w="351"/>
        <w:gridCol w:w="579"/>
        <w:gridCol w:w="146"/>
        <w:gridCol w:w="146"/>
        <w:gridCol w:w="311"/>
        <w:gridCol w:w="559"/>
        <w:gridCol w:w="166"/>
        <w:gridCol w:w="146"/>
        <w:gridCol w:w="333"/>
        <w:gridCol w:w="597"/>
        <w:gridCol w:w="166"/>
        <w:gridCol w:w="146"/>
        <w:gridCol w:w="329"/>
        <w:gridCol w:w="541"/>
        <w:gridCol w:w="149"/>
        <w:gridCol w:w="149"/>
        <w:gridCol w:w="351"/>
        <w:gridCol w:w="579"/>
        <w:gridCol w:w="146"/>
        <w:gridCol w:w="146"/>
        <w:gridCol w:w="380"/>
        <w:gridCol w:w="490"/>
        <w:gridCol w:w="166"/>
        <w:gridCol w:w="146"/>
        <w:gridCol w:w="351"/>
        <w:gridCol w:w="579"/>
        <w:gridCol w:w="202"/>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0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Purchases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0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Sales</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Electric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Gas Derivatives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Electric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Gas Derivatives</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Physical (1)</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Financial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Physical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Financial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Physical (1)</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Financial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Physical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Financial (1)</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Physical transactions represent commodity transactions in which we take or make delivery of either electricity or natural gas; financial transactions represent financial derivative instruments that are settled in cash with no physical delivery of the underlying commodity, such as futures, swap derivatives, or options contracts.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above electric and natural gas derivative contracts will be included in either power supply costs or natural gas supply costs during the period they are settled and will be included in deferral and recovery mechanisms (ERM, PCA, and PGAs), or in the general rate case process, and are expected to eventually be collected through retail rates from customers.</w:t>
      </w:r>
    </w:p>
    <w:p>
      <w:pPr>
        <w:pStyle w:val="TextBody"/>
        <w:bidi w:val="0"/>
        <w:spacing w:before="240" w:after="283"/>
        <w:jc w:val="left"/>
        <w:rPr>
          <w:rFonts w:ascii="Times New Roman" w:hAnsi="Times New Roman"/>
          <w:b/>
          <w:color w:val="000000"/>
          <w:sz w:val="20"/>
          <w:u w:val="single"/>
        </w:rPr>
      </w:pPr>
      <w:bookmarkStart w:id="46" w:name="item_3_quantitative_qualitative_disclosu"/>
      <w:bookmarkEnd w:id="46"/>
      <w:r>
        <w:rPr>
          <w:rFonts w:ascii="Times New Roman" w:hAnsi="Times New Roman"/>
          <w:b/>
          <w:color w:val="000000"/>
          <w:sz w:val="20"/>
          <w:u w:val="single"/>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set forth in the Enterprise Risk Management section of "Item 2. Management’s Discussion and Analysis of Financial Condition and Results of Operations" and is incorporated herein by reference.</w:t>
      </w:r>
    </w:p>
    <w:p>
      <w:pPr>
        <w:pStyle w:val="TextBody"/>
        <w:bidi w:val="0"/>
        <w:spacing w:before="240" w:after="283"/>
        <w:jc w:val="left"/>
        <w:rPr>
          <w:rFonts w:ascii="Times New Roman" w:hAnsi="Times New Roman"/>
          <w:sz w:val="20"/>
        </w:rPr>
      </w:pPr>
      <w:bookmarkStart w:id="47" w:name="item_4_controls_procedures"/>
      <w:bookmarkEnd w:id="47"/>
      <w:r>
        <w:rPr>
          <w:rFonts w:ascii="Times New Roman" w:hAnsi="Times New Roman"/>
          <w:b/>
          <w:color w:val="000000"/>
          <w:sz w:val="20"/>
          <w:u w:val="single"/>
        </w:rPr>
        <w:t>Item 4. Controls</w:t>
      </w:r>
      <w:r>
        <w:rPr>
          <w:rFonts w:ascii="Times New Roman" w:hAnsi="Times New Roman"/>
          <w:color w:val="000000"/>
          <w:sz w:val="20"/>
          <w:u w:val="single"/>
        </w:rPr>
        <w:t xml:space="preserve"> </w:t>
      </w:r>
      <w:r>
        <w:rPr>
          <w:rFonts w:ascii="Times New Roman" w:hAnsi="Times New Roman"/>
          <w:b/>
          <w:color w:val="000000"/>
          <w:sz w:val="20"/>
          <w:u w:val="single"/>
        </w:rPr>
        <w:t>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Conclusion Regarding the Effectiveness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disclosure controls and procedures (as defined in Rules 13a-15(e) and 15d-15(e) under the Securities Exchange Act of 1934, as amended) (Act) that are designed to ensure that information required to be disclosed in the reports it files or submits under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Act is recorded, processed, summarized and reported on a timely basis. Disclosure controls and procedures include, without limitation, controls and procedures designed to ensure that information required to be disclosed by the Company in the reports that it files or submits under the Act is accumulated and communicated to the Company’s management, including its principal executive and principal financial officers, as appropriate, to allow timely decisions regarding required disclosure. With the participation of the Company’s principal executive officer and principal financial officer, the Company's management evaluated its disclosure controls and procedures as of the end of the period covered by this report.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this evaluation, the Company’s principal executive officer and principal financial officer have concluded that the Company’s disclosure controls and procedures are effective at a reasonable assurance level as of March 31,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changes in the Company's internal control over financial reporting that occurred during the first quarter of 2026 that have materially affected, or are reasonably likely to materially affect, the Company's internal control over financial reporting.</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center"/>
        <w:rPr>
          <w:rFonts w:ascii="Times New Roman" w:hAnsi="Times New Roman"/>
          <w:b/>
          <w:color w:val="000000"/>
          <w:sz w:val="20"/>
          <w:u w:val="single"/>
        </w:rPr>
      </w:pPr>
      <w:bookmarkStart w:id="48" w:name="part_ii_or_information"/>
      <w:bookmarkEnd w:id="48"/>
      <w:r>
        <w:rPr>
          <w:rFonts w:ascii="Times New Roman" w:hAnsi="Times New Roman"/>
          <w:b/>
          <w:color w:val="000000"/>
          <w:sz w:val="20"/>
          <w:u w:val="single"/>
        </w:rPr>
        <w:t>PART II. Other Information</w:t>
      </w:r>
    </w:p>
    <w:p>
      <w:pPr>
        <w:pStyle w:val="TextBody"/>
        <w:bidi w:val="0"/>
        <w:spacing w:before="120" w:after="283"/>
        <w:jc w:val="left"/>
        <w:rPr>
          <w:rFonts w:ascii="Times New Roman" w:hAnsi="Times New Roman"/>
          <w:sz w:val="20"/>
        </w:rPr>
      </w:pPr>
      <w:bookmarkStart w:id="49" w:name="item_1_legal_proceedings"/>
      <w:bookmarkEnd w:id="49"/>
      <w:r>
        <w:rPr>
          <w:rFonts w:ascii="Times New Roman" w:hAnsi="Times New Roman"/>
          <w:b/>
          <w:color w:val="000000"/>
          <w:sz w:val="20"/>
          <w:u w:val="single"/>
        </w:rPr>
        <w:t>Item 1. Legal</w:t>
      </w:r>
      <w:r>
        <w:rPr>
          <w:rFonts w:ascii="Times New Roman" w:hAnsi="Times New Roman"/>
          <w:color w:val="000000"/>
          <w:sz w:val="20"/>
          <w:u w:val="single"/>
        </w:rPr>
        <w:t xml:space="preserve"> </w:t>
      </w:r>
      <w:r>
        <w:rPr>
          <w:rFonts w:ascii="Times New Roman" w:hAnsi="Times New Roman"/>
          <w:b/>
          <w:color w:val="000000"/>
          <w:sz w:val="20"/>
          <w:u w:val="single"/>
        </w:rPr>
        <w:t>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13 of Notes to Condensed Consolidated Financial Statements” in “Part I. Financial Information Item 1. Condensed Consolidated Financial Statements.”</w:t>
      </w:r>
    </w:p>
    <w:p>
      <w:pPr>
        <w:pStyle w:val="TextBody"/>
        <w:bidi w:val="0"/>
        <w:spacing w:before="240" w:after="283"/>
        <w:jc w:val="left"/>
        <w:rPr>
          <w:rFonts w:ascii="Times New Roman" w:hAnsi="Times New Roman"/>
          <w:b/>
          <w:color w:val="000000"/>
          <w:sz w:val="20"/>
          <w:u w:val="single"/>
        </w:rPr>
      </w:pPr>
      <w:bookmarkStart w:id="50" w:name="item_1a_risk_factors"/>
      <w:bookmarkEnd w:id="50"/>
      <w:r>
        <w:rPr>
          <w:rFonts w:ascii="Times New Roman" w:hAnsi="Times New Roman"/>
          <w:b/>
          <w:color w:val="000000"/>
          <w:sz w:val="20"/>
          <w:u w:val="single"/>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 to the 2025 Form 10-K for disclosure of risk factors that could have a significant impact on our results of operations, financial condition or cash flows and could cause actual results or outcomes to differ materially from those discussed in our reports filed with the SEC (including this Quarterly Report on Form 10-Q), and elsewhere. These risk factors have not materially changed from the disclosures provided in the 2025 Form 10-K.</w:t>
      </w:r>
    </w:p>
    <w:p>
      <w:pPr>
        <w:pStyle w:val="TextBody"/>
        <w:bidi w:val="0"/>
        <w:spacing w:before="240" w:after="283"/>
        <w:jc w:val="left"/>
        <w:rPr>
          <w:rFonts w:ascii="Times New Roman" w:hAnsi="Times New Roman"/>
          <w:b/>
          <w:color w:val="000000"/>
          <w:sz w:val="20"/>
          <w:u w:val="single"/>
        </w:rPr>
      </w:pPr>
      <w:bookmarkStart w:id="51" w:name="item_5_other_information"/>
      <w:bookmarkEnd w:id="51"/>
      <w:r>
        <w:rPr>
          <w:rFonts w:ascii="Times New Roman" w:hAnsi="Times New Roman"/>
          <w:b/>
          <w:color w:val="000000"/>
          <w:sz w:val="20"/>
          <w:u w:val="single"/>
        </w:rPr>
        <w:t>Item 5. Other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fiscal quarter ended March 31, 2026, none of our directors or officers informed us of the adoption or termination of a "Rule 10b5-1 trading arrangement" or "non-Rule 10b5-1 trading arrangement," as those terms are defined in Regulation S-K, Item 408.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spacing w:before="120" w:after="283"/>
        <w:jc w:val="left"/>
        <w:rPr>
          <w:rFonts w:ascii="Times New Roman" w:hAnsi="Times New Roman"/>
          <w:b/>
          <w:color w:val="000000"/>
          <w:sz w:val="20"/>
          <w:u w:val="single"/>
        </w:rPr>
      </w:pPr>
      <w:bookmarkStart w:id="52" w:name="item_6_exhibits"/>
      <w:bookmarkEnd w:id="52"/>
      <w:r>
        <w:rPr>
          <w:rFonts w:ascii="Times New Roman" w:hAnsi="Times New Roman"/>
          <w:b/>
          <w:color w:val="000000"/>
          <w:sz w:val="20"/>
          <w:u w:val="single"/>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1"/>
        <w:gridCol w:w="146"/>
        <w:gridCol w:w="9348"/>
      </w:tblGrid>
      <w:tr>
        <w:trPr/>
        <w:tc>
          <w:tcPr>
            <w:tcW w:w="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48" w:type="dxa"/>
            <w:tcBorders/>
            <w:vAlign w:val="center"/>
          </w:tcPr>
          <w:p>
            <w:pPr>
              <w:pStyle w:val="TableContents"/>
              <w:bidi w:val="0"/>
              <w:spacing w:before="0" w:after="283"/>
              <w:jc w:val="left"/>
              <w:rPr>
                <w:sz w:val="4"/>
                <w:szCs w:val="4"/>
              </w:rPr>
            </w:pPr>
            <w:r>
              <w:rPr>
                <w:sz w:val="4"/>
                <w:szCs w:val="4"/>
              </w:rPr>
            </w:r>
          </w:p>
        </w:tc>
      </w:tr>
      <w:tr>
        <w:trPr/>
        <w:tc>
          <w:tcPr>
            <w:tcW w:w="711" w:type="dxa"/>
            <w:tcBorders/>
            <w:tcMar>
              <w:top w:w="0" w:type="dxa"/>
              <w:left w:w="0" w:type="dxa"/>
              <w:bottom w:w="0" w:type="dxa"/>
              <w:right w:w="0" w:type="dxa"/>
            </w:tcMar>
            <w:vAlign w:val="center"/>
          </w:tcPr>
          <w:p>
            <w:pPr>
              <w:pStyle w:val="TableContents"/>
              <w:bidi w:val="0"/>
              <w:spacing w:before="0" w:after="283"/>
              <w:jc w:val="right"/>
              <w:rPr/>
            </w:pPr>
            <w:hyperlink w:anchor="ava-ex15.htm">
              <w:r>
                <w:rPr>
                  <w:rStyle w:val="InternetLink"/>
                  <w:rFonts w:ascii="Times New Roman" w:hAnsi="Times New Roman"/>
                  <w:color w:val="0000FF"/>
                  <w:sz w:val="20"/>
                  <w:u w:val="single"/>
                </w:rPr>
                <w:t>15</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8" w:type="dxa"/>
            <w:tcBorders/>
            <w:tcMar>
              <w:top w:w="0" w:type="dxa"/>
              <w:left w:w="0" w:type="dxa"/>
              <w:bottom w:w="0" w:type="dxa"/>
              <w:right w:w="0" w:type="dxa"/>
            </w:tcMar>
            <w:vAlign w:val="center"/>
          </w:tcPr>
          <w:p>
            <w:pPr>
              <w:pStyle w:val="TableContents"/>
              <w:bidi w:val="0"/>
              <w:spacing w:before="0" w:after="283"/>
              <w:jc w:val="left"/>
              <w:rPr/>
            </w:pPr>
            <w:hyperlink w:anchor="ava-ex15.htm">
              <w:r>
                <w:rPr>
                  <w:rStyle w:val="InternetLink"/>
                  <w:rFonts w:ascii="Times New Roman" w:hAnsi="Times New Roman"/>
                  <w:color w:val="0000FF"/>
                  <w:sz w:val="20"/>
                  <w:u w:val="single"/>
                </w:rPr>
                <w:t>Letter Re: Unaudited Interim Financial Information (1)</w:t>
              </w:r>
            </w:hyperlink>
          </w:p>
        </w:tc>
      </w:tr>
      <w:tr>
        <w:trPr/>
        <w:tc>
          <w:tcPr>
            <w:tcW w:w="7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1" w:type="dxa"/>
            <w:tcBorders/>
            <w:tcMar>
              <w:top w:w="0" w:type="dxa"/>
              <w:left w:w="0" w:type="dxa"/>
              <w:bottom w:w="0" w:type="dxa"/>
              <w:right w:w="0" w:type="dxa"/>
            </w:tcMar>
            <w:vAlign w:val="center"/>
          </w:tcPr>
          <w:p>
            <w:pPr>
              <w:pStyle w:val="TableContents"/>
              <w:bidi w:val="0"/>
              <w:spacing w:before="0" w:after="283"/>
              <w:jc w:val="right"/>
              <w:rPr/>
            </w:pPr>
            <w:hyperlink w:anchor="ava-ex31_1.htm">
              <w:r>
                <w:rPr>
                  <w:rStyle w:val="InternetLink"/>
                  <w:rFonts w:ascii="Times New Roman" w:hAnsi="Times New Roman"/>
                  <w:color w:val="0000FF"/>
                  <w:sz w:val="20"/>
                  <w:u w:val="single"/>
                </w:rPr>
                <w:t>31.1</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8" w:type="dxa"/>
            <w:tcBorders/>
            <w:tcMar>
              <w:top w:w="0" w:type="dxa"/>
              <w:left w:w="0" w:type="dxa"/>
              <w:bottom w:w="0" w:type="dxa"/>
              <w:right w:w="0" w:type="dxa"/>
            </w:tcMar>
            <w:vAlign w:val="center"/>
          </w:tcPr>
          <w:p>
            <w:pPr>
              <w:pStyle w:val="TableContents"/>
              <w:bidi w:val="0"/>
              <w:spacing w:before="0" w:after="283"/>
              <w:jc w:val="left"/>
              <w:rPr/>
            </w:pPr>
            <w:hyperlink w:anchor="ava-ex31_1.htm">
              <w:r>
                <w:rPr>
                  <w:rStyle w:val="InternetLink"/>
                  <w:rFonts w:ascii="Times New Roman" w:hAnsi="Times New Roman"/>
                  <w:color w:val="0000FF"/>
                  <w:sz w:val="20"/>
                  <w:u w:val="single"/>
                </w:rPr>
                <w:t>Certification of Chief Executive Officer (Pursuant to 18 U.S.C. Section 1350, as Adopted Pursuant to Section 302 of the Sarbanes-Oxley Act of 2002) (1)</w:t>
              </w:r>
            </w:hyperlink>
          </w:p>
        </w:tc>
      </w:tr>
      <w:tr>
        <w:trPr/>
        <w:tc>
          <w:tcPr>
            <w:tcW w:w="7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1" w:type="dxa"/>
            <w:tcBorders/>
            <w:tcMar>
              <w:top w:w="0" w:type="dxa"/>
              <w:left w:w="0" w:type="dxa"/>
              <w:bottom w:w="0" w:type="dxa"/>
              <w:right w:w="0" w:type="dxa"/>
            </w:tcMar>
            <w:vAlign w:val="center"/>
          </w:tcPr>
          <w:p>
            <w:pPr>
              <w:pStyle w:val="TableContents"/>
              <w:bidi w:val="0"/>
              <w:spacing w:before="0" w:after="283"/>
              <w:jc w:val="right"/>
              <w:rPr/>
            </w:pPr>
            <w:hyperlink w:anchor="ava-ex31_2.htm">
              <w:r>
                <w:rPr>
                  <w:rStyle w:val="InternetLink"/>
                  <w:rFonts w:ascii="Times New Roman" w:hAnsi="Times New Roman"/>
                  <w:color w:val="0000FF"/>
                  <w:sz w:val="20"/>
                  <w:u w:val="single"/>
                </w:rPr>
                <w:t>31.2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8" w:type="dxa"/>
            <w:tcBorders/>
            <w:tcMar>
              <w:top w:w="0" w:type="dxa"/>
              <w:left w:w="0" w:type="dxa"/>
              <w:bottom w:w="0" w:type="dxa"/>
              <w:right w:w="0" w:type="dxa"/>
            </w:tcMar>
            <w:vAlign w:val="center"/>
          </w:tcPr>
          <w:p>
            <w:pPr>
              <w:pStyle w:val="TableContents"/>
              <w:bidi w:val="0"/>
              <w:spacing w:before="0" w:after="283"/>
              <w:jc w:val="left"/>
              <w:rPr/>
            </w:pPr>
            <w:hyperlink w:anchor="ava-ex31_2.htm">
              <w:r>
                <w:rPr>
                  <w:rStyle w:val="InternetLink"/>
                  <w:rFonts w:ascii="Times New Roman" w:hAnsi="Times New Roman"/>
                  <w:color w:val="0000FF"/>
                  <w:sz w:val="20"/>
                  <w:u w:val="single"/>
                </w:rPr>
                <w:t>Certification of Chief Financial Officer (Pursuant to 18 U.S.C. Section 1350, as Adopted Pursuant to Section 302 of the Sarbanes-Oxley Act of 2002) (1)</w:t>
              </w:r>
            </w:hyperlink>
          </w:p>
        </w:tc>
      </w:tr>
      <w:tr>
        <w:trPr/>
        <w:tc>
          <w:tcPr>
            <w:tcW w:w="7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1" w:type="dxa"/>
            <w:tcBorders/>
            <w:tcMar>
              <w:top w:w="0" w:type="dxa"/>
              <w:left w:w="0" w:type="dxa"/>
              <w:bottom w:w="0" w:type="dxa"/>
              <w:right w:w="0" w:type="dxa"/>
            </w:tcMar>
            <w:vAlign w:val="center"/>
          </w:tcPr>
          <w:p>
            <w:pPr>
              <w:pStyle w:val="TableContents"/>
              <w:bidi w:val="0"/>
              <w:spacing w:before="0" w:after="283"/>
              <w:jc w:val="right"/>
              <w:rPr/>
            </w:pPr>
            <w:hyperlink w:anchor="ava-ex32.htm">
              <w:r>
                <w:rPr>
                  <w:rStyle w:val="InternetLink"/>
                  <w:rFonts w:ascii="Times New Roman" w:hAnsi="Times New Roman"/>
                  <w:color w:val="0000FF"/>
                  <w:sz w:val="20"/>
                  <w:u w:val="single"/>
                </w:rPr>
                <w:t>32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8" w:type="dxa"/>
            <w:tcBorders/>
            <w:tcMar>
              <w:top w:w="0" w:type="dxa"/>
              <w:left w:w="0" w:type="dxa"/>
              <w:bottom w:w="0" w:type="dxa"/>
              <w:right w:w="0" w:type="dxa"/>
            </w:tcMar>
            <w:vAlign w:val="center"/>
          </w:tcPr>
          <w:p>
            <w:pPr>
              <w:pStyle w:val="TableContents"/>
              <w:bidi w:val="0"/>
              <w:spacing w:before="0" w:after="283"/>
              <w:jc w:val="left"/>
              <w:rPr/>
            </w:pPr>
            <w:hyperlink w:anchor="ava-ex32.htm">
              <w:r>
                <w:rPr>
                  <w:rStyle w:val="InternetLink"/>
                  <w:rFonts w:ascii="Times New Roman" w:hAnsi="Times New Roman"/>
                  <w:color w:val="0000FF"/>
                  <w:sz w:val="20"/>
                  <w:u w:val="single"/>
                </w:rPr>
                <w:t>Certification of Corporate Officers (Furnished Pursuant to 18 U.S.C. Section 1350, as Adopted Pursuant to Section 906 of the Sarbanes-Oxley Act of 2002) (2)</w:t>
              </w:r>
            </w:hyperlink>
          </w:p>
        </w:tc>
      </w:tr>
      <w:tr>
        <w:trPr/>
        <w:tc>
          <w:tcPr>
            <w:tcW w:w="7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The instance document does not appear in the interactive data file because its inline XBRL tags are embedded within the inline XBRL document.</w:t>
            </w:r>
          </w:p>
        </w:tc>
      </w:tr>
      <w:tr>
        <w:trPr/>
        <w:tc>
          <w:tcPr>
            <w:tcW w:w="7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r>
      <w:tr>
        <w:trPr/>
        <w:tc>
          <w:tcPr>
            <w:tcW w:w="7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r>
        <w:trPr/>
        <w:tc>
          <w:tcPr>
            <w:tcW w:w="7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Furnished herewith.</w:t>
            </w:r>
          </w:p>
        </w:tc>
      </w:tr>
    </w:tbl>
    <w:p>
      <w:pPr>
        <w:pStyle w:val="TextBody"/>
        <w:bidi w:val="0"/>
        <w:jc w:val="left"/>
        <w:rPr/>
      </w:pPr>
      <w:r>
        <w:rPr/>
        <w:t>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563C1"/>
            <w:sz w:val="16"/>
            <w:u w:val="single"/>
          </w:rPr>
          <w:t>Table of Contents</w:t>
        </w:r>
      </w:hyperlink>
    </w:p>
    <w:p>
      <w:pPr>
        <w:pStyle w:val="TextBody"/>
        <w:bidi w:val="0"/>
        <w:jc w:val="left"/>
        <w:rPr/>
      </w:pPr>
      <w:r>
        <w:rPr/>
        <w:t> </w:t>
      </w:r>
    </w:p>
    <w:p>
      <w:pPr>
        <w:pStyle w:val="TextBody"/>
        <w:pBdr>
          <w:bottom w:val="single" w:sz="18" w:space="1" w:color="000000"/>
        </w:pBdr>
        <w:bidi w:val="0"/>
        <w:jc w:val="left"/>
        <w:rPr>
          <w:rFonts w:ascii="Times New Roman" w:hAnsi="Times New Roman"/>
          <w:b/>
          <w:i/>
          <w:color w:val="000000"/>
          <w:sz w:val="20"/>
        </w:rPr>
      </w:pPr>
      <w:r>
        <w:rPr>
          <w:rFonts w:ascii="Times New Roman" w:hAnsi="Times New Roman"/>
          <w:b/>
          <w:i/>
          <w:color w:val="000000"/>
          <w:sz w:val="20"/>
        </w:rPr>
        <w:t>AVISTA CORPORATION</w:t>
      </w:r>
    </w:p>
    <w:p>
      <w:pPr>
        <w:pStyle w:val="TextBody"/>
        <w:bidi w:val="0"/>
        <w:jc w:val="left"/>
        <w:rPr/>
      </w:pPr>
      <w:r>
        <w:rPr/>
        <w:t> </w:t>
      </w:r>
    </w:p>
    <w:p>
      <w:pPr>
        <w:pStyle w:val="TextBody"/>
        <w:bidi w:val="0"/>
        <w:jc w:val="center"/>
        <w:rPr>
          <w:rFonts w:ascii="Times New Roman" w:hAnsi="Times New Roman"/>
          <w:color w:val="000000"/>
          <w:sz w:val="20"/>
          <w:u w:val="single"/>
        </w:rPr>
      </w:pPr>
      <w:bookmarkStart w:id="53" w:name="signature"/>
      <w:bookmarkEnd w:id="53"/>
      <w:r>
        <w:rPr>
          <w:rFonts w:ascii="Times New Roman" w:hAnsi="Times New Roman"/>
          <w:color w:val="000000"/>
          <w:sz w:val="20"/>
          <w:u w:val="single"/>
        </w:rPr>
        <w:t>SIGNATURE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729" w:type="dxa"/>
        <w:jc w:val="left"/>
        <w:tblInd w:w="0" w:type="dxa"/>
        <w:tblLayout w:type="fixed"/>
        <w:tblCellMar>
          <w:top w:w="28" w:type="dxa"/>
          <w:left w:w="28" w:type="dxa"/>
          <w:bottom w:w="28" w:type="dxa"/>
          <w:right w:w="28" w:type="dxa"/>
        </w:tblCellMar>
      </w:tblPr>
      <w:tblGrid>
        <w:gridCol w:w="556"/>
        <w:gridCol w:w="1141"/>
        <w:gridCol w:w="146"/>
        <w:gridCol w:w="3886"/>
      </w:tblGrid>
      <w:tr>
        <w:trPr/>
        <w:tc>
          <w:tcPr>
            <w:tcW w:w="55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AVISTA CORPORATION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(Registrant)</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Kevin J. Christie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Kevin J. Christie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Senior Vice President, Chief Financial Officer,</w:t>
            </w:r>
          </w:p>
          <w:p>
            <w:pPr>
              <w:pStyle w:val="TableContents"/>
              <w:bidi w:val="0"/>
              <w:jc w:val="center"/>
              <w:rPr>
                <w:rFonts w:ascii="Times New Roman" w:hAnsi="Times New Roman"/>
                <w:color w:val="000000"/>
                <w:sz w:val="20"/>
              </w:rPr>
            </w:pPr>
            <w:r>
              <w:rPr>
                <w:rFonts w:ascii="Times New Roman" w:hAnsi="Times New Roman"/>
                <w:color w:val="000000"/>
                <w:sz w:val="20"/>
              </w:rPr>
              <w:t>Treasurer and Regulatory Affairs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bookmarkStart w:id="54" w:name="ava-ex15.htm"/>
      <w:bookmarkStart w:id="55" w:name="ksavaex15"/>
      <w:bookmarkEnd w:id="54"/>
      <w:bookmarkEnd w:id="5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15</w:t>
      </w:r>
    </w:p>
    <w:p>
      <w:pPr>
        <w:pStyle w:val="TextBody"/>
        <w:bidi w:val="0"/>
        <w:jc w:val="left"/>
        <w:rPr>
          <w:rFonts w:ascii="Times New Roman" w:hAnsi="Times New Roman"/>
          <w:color w:val="000000"/>
          <w:sz w:val="20"/>
        </w:rPr>
      </w:pPr>
      <w:r>
        <w:rPr>
          <w:rFonts w:ascii="Times New Roman" w:hAnsi="Times New Roman"/>
          <w:color w:val="000000"/>
          <w:sz w:val="20"/>
        </w:rPr>
        <w:t>May 4,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the Board of Directors and Shareholders of Avista Corporation</w:t>
      </w:r>
    </w:p>
    <w:p>
      <w:pPr>
        <w:pStyle w:val="TextBody"/>
        <w:bidi w:val="0"/>
        <w:jc w:val="left"/>
        <w:rPr>
          <w:rFonts w:ascii="Times New Roman" w:hAnsi="Times New Roman"/>
          <w:color w:val="000000"/>
          <w:sz w:val="20"/>
        </w:rPr>
      </w:pPr>
      <w:r>
        <w:rPr>
          <w:rFonts w:ascii="Times New Roman" w:hAnsi="Times New Roman"/>
          <w:color w:val="000000"/>
          <w:sz w:val="20"/>
        </w:rPr>
        <w:t>1411 East Mission Ave</w:t>
      </w:r>
    </w:p>
    <w:p>
      <w:pPr>
        <w:pStyle w:val="TextBody"/>
        <w:bidi w:val="0"/>
        <w:jc w:val="left"/>
        <w:rPr>
          <w:rFonts w:ascii="Times New Roman" w:hAnsi="Times New Roman"/>
          <w:color w:val="000000"/>
          <w:sz w:val="20"/>
        </w:rPr>
      </w:pPr>
      <w:r>
        <w:rPr>
          <w:rFonts w:ascii="Times New Roman" w:hAnsi="Times New Roman"/>
          <w:color w:val="000000"/>
          <w:sz w:val="20"/>
        </w:rPr>
        <w:t>Spokane, Washington 99202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aware that our report dated May 4, 2026, on our review of interim financial information of Avista Corporation and subsidiaries appearing in this Quarterly report on Form 10-Q for the quarter ended March 31, 2026, is incorporated by reference in Registration Statement Nos. 333-33790, 333-179042, 333-208986, and 333-295354 on Form S-8 and in Registration Statement No. 333-287023 on Form S-3.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6" w:name="ava-ex31_1.htm"/>
      <w:bookmarkStart w:id="57" w:name="ksavaex31_1"/>
      <w:bookmarkEnd w:id="56"/>
      <w:bookmarkEnd w:id="5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Heather L. Rosentrater,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report on Form 10-Q of Avista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968" w:type="dxa"/>
        <w:jc w:val="left"/>
        <w:tblInd w:w="0" w:type="dxa"/>
        <w:tblLayout w:type="fixed"/>
        <w:tblCellMar>
          <w:top w:w="28" w:type="dxa"/>
          <w:left w:w="28" w:type="dxa"/>
          <w:bottom w:w="28" w:type="dxa"/>
          <w:right w:w="28" w:type="dxa"/>
        </w:tblCellMar>
      </w:tblPr>
      <w:tblGrid>
        <w:gridCol w:w="556"/>
        <w:gridCol w:w="1141"/>
        <w:gridCol w:w="3271"/>
      </w:tblGrid>
      <w:tr>
        <w:trPr/>
        <w:tc>
          <w:tcPr>
            <w:tcW w:w="55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Date:</w:t>
            </w:r>
          </w:p>
        </w:tc>
        <w:tc>
          <w:tcPr>
            <w:tcW w:w="114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br/>
              <w:t>May 4, 2026</w:t>
            </w:r>
          </w:p>
        </w:tc>
        <w:tc>
          <w:tcPr>
            <w:tcW w:w="3271" w:type="dxa"/>
            <w:tcBorders>
              <w:bottom w:val="single" w:sz="8" w:space="0" w:color="000000"/>
            </w:tcBorders>
            <w:tcMar>
              <w:top w:w="0" w:type="dxa"/>
              <w:left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/s/ Heather L. Rosentrater</w:t>
            </w:r>
          </w:p>
        </w:tc>
      </w:tr>
      <w:tr>
        <w:trPr/>
        <w:tc>
          <w:tcPr>
            <w:tcW w:w="556" w:type="dxa"/>
            <w:tcBorders/>
            <w:tcMar>
              <w:top w:w="0" w:type="dxa"/>
              <w:left w:w="0" w:type="dxa"/>
              <w:bottom w:w="0" w:type="dxa"/>
              <w:right w:w="0" w:type="dxa"/>
            </w:tcMar>
            <w:vAlign w:val="center"/>
          </w:tcPr>
          <w:p>
            <w:pPr>
              <w:pStyle w:val="TableContents"/>
              <w:bidi w:val="0"/>
              <w:spacing w:before="40" w:after="40"/>
              <w:jc w:val="left"/>
              <w:rPr/>
            </w:pPr>
            <w:r>
              <w:rPr/>
              <w:t> </w:t>
            </w:r>
          </w:p>
        </w:tc>
        <w:tc>
          <w:tcPr>
            <w:tcW w:w="1141" w:type="dxa"/>
            <w:tcBorders/>
            <w:tcMar>
              <w:top w:w="0" w:type="dxa"/>
              <w:left w:w="0" w:type="dxa"/>
              <w:bottom w:w="0" w:type="dxa"/>
              <w:right w:w="0" w:type="dxa"/>
            </w:tcMar>
            <w:vAlign w:val="center"/>
          </w:tcPr>
          <w:p>
            <w:pPr>
              <w:pStyle w:val="TableContents"/>
              <w:bidi w:val="0"/>
              <w:spacing w:before="40" w:after="40"/>
              <w:jc w:val="left"/>
              <w:rPr/>
            </w:pPr>
            <w:r>
              <w:rPr/>
              <w:t> </w:t>
            </w:r>
          </w:p>
        </w:tc>
        <w:tc>
          <w:tcPr>
            <w:tcW w:w="3271"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Heather L. Rosentrater</w:t>
            </w:r>
          </w:p>
        </w:tc>
      </w:tr>
      <w:tr>
        <w:trPr/>
        <w:tc>
          <w:tcPr>
            <w:tcW w:w="556" w:type="dxa"/>
            <w:tcBorders/>
            <w:tcMar>
              <w:top w:w="0" w:type="dxa"/>
              <w:left w:w="0" w:type="dxa"/>
              <w:bottom w:w="0" w:type="dxa"/>
              <w:right w:w="0" w:type="dxa"/>
            </w:tcMar>
            <w:vAlign w:val="center"/>
          </w:tcPr>
          <w:p>
            <w:pPr>
              <w:pStyle w:val="TableContents"/>
              <w:bidi w:val="0"/>
              <w:spacing w:before="40" w:after="40"/>
              <w:jc w:val="left"/>
              <w:rPr/>
            </w:pPr>
            <w:r>
              <w:rPr/>
              <w:t> </w:t>
            </w:r>
          </w:p>
        </w:tc>
        <w:tc>
          <w:tcPr>
            <w:tcW w:w="1141" w:type="dxa"/>
            <w:tcBorders/>
            <w:tcMar>
              <w:top w:w="0" w:type="dxa"/>
              <w:left w:w="0" w:type="dxa"/>
              <w:bottom w:w="0" w:type="dxa"/>
              <w:right w:w="0" w:type="dxa"/>
            </w:tcMar>
            <w:vAlign w:val="center"/>
          </w:tcPr>
          <w:p>
            <w:pPr>
              <w:pStyle w:val="TableContents"/>
              <w:bidi w:val="0"/>
              <w:spacing w:before="40" w:after="40"/>
              <w:jc w:val="left"/>
              <w:rPr/>
            </w:pPr>
            <w:r>
              <w:rPr/>
              <w:t> </w:t>
            </w:r>
          </w:p>
        </w:tc>
        <w:tc>
          <w:tcPr>
            <w:tcW w:w="3271" w:type="dxa"/>
            <w:tcBorders/>
            <w:tcMar>
              <w:top w:w="0" w:type="dxa"/>
              <w:left w:w="0" w:type="dxa"/>
              <w:bottom w:w="0" w:type="dxa"/>
              <w:right w:w="0" w:type="dxa"/>
            </w:tcMar>
            <w:vAlign w:val="center"/>
          </w:tcPr>
          <w:p>
            <w:pPr>
              <w:pStyle w:val="TableContents"/>
              <w:bidi w:val="0"/>
              <w:spacing w:before="40" w:after="40"/>
              <w:jc w:val="center"/>
              <w:rPr>
                <w:color w:val="000000"/>
              </w:rPr>
            </w:pPr>
            <w:r>
              <w:rPr>
                <w:color w:val="000000"/>
              </w:rPr>
              <w:t> </w:t>
            </w:r>
            <w:r>
              <w:rPr>
                <w:rFonts w:ascii="Times New Roman" w:hAnsi="Times New Roman"/>
                <w:color w:val="000000"/>
                <w:sz w:val="20"/>
              </w:rPr>
              <w:t>President and Chief Executive Officer</w:t>
            </w:r>
          </w:p>
        </w:tc>
      </w:tr>
      <w:tr>
        <w:trPr/>
        <w:tc>
          <w:tcPr>
            <w:tcW w:w="556" w:type="dxa"/>
            <w:tcBorders/>
            <w:tcMar>
              <w:top w:w="0" w:type="dxa"/>
              <w:left w:w="0" w:type="dxa"/>
              <w:bottom w:w="0" w:type="dxa"/>
              <w:right w:w="0" w:type="dxa"/>
            </w:tcMar>
            <w:vAlign w:val="center"/>
          </w:tcPr>
          <w:p>
            <w:pPr>
              <w:pStyle w:val="TableContents"/>
              <w:bidi w:val="0"/>
              <w:spacing w:before="40" w:after="40"/>
              <w:jc w:val="left"/>
              <w:rPr/>
            </w:pPr>
            <w:r>
              <w:rPr/>
              <w:t> </w:t>
            </w:r>
          </w:p>
        </w:tc>
        <w:tc>
          <w:tcPr>
            <w:tcW w:w="1141" w:type="dxa"/>
            <w:tcBorders/>
            <w:tcMar>
              <w:top w:w="0" w:type="dxa"/>
              <w:left w:w="0" w:type="dxa"/>
              <w:bottom w:w="0" w:type="dxa"/>
              <w:right w:w="0" w:type="dxa"/>
            </w:tcMar>
            <w:vAlign w:val="center"/>
          </w:tcPr>
          <w:p>
            <w:pPr>
              <w:pStyle w:val="TableContents"/>
              <w:bidi w:val="0"/>
              <w:spacing w:before="40" w:after="40"/>
              <w:jc w:val="left"/>
              <w:rPr/>
            </w:pPr>
            <w:r>
              <w:rPr/>
              <w:t> </w:t>
            </w:r>
          </w:p>
        </w:tc>
        <w:tc>
          <w:tcPr>
            <w:tcW w:w="3271"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8" w:name="ava-ex31_2.htm"/>
      <w:bookmarkStart w:id="59" w:name="ksavaex31_2"/>
      <w:bookmarkEnd w:id="58"/>
      <w:bookmarkEnd w:id="5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Kevin J. Christie,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report on Form 10-Q of Avista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583" w:type="dxa"/>
        <w:jc w:val="left"/>
        <w:tblInd w:w="0" w:type="dxa"/>
        <w:tblLayout w:type="fixed"/>
        <w:tblCellMar>
          <w:top w:w="28" w:type="dxa"/>
          <w:left w:w="28" w:type="dxa"/>
          <w:bottom w:w="28" w:type="dxa"/>
          <w:right w:w="28" w:type="dxa"/>
        </w:tblCellMar>
      </w:tblPr>
      <w:tblGrid>
        <w:gridCol w:w="556"/>
        <w:gridCol w:w="1141"/>
        <w:gridCol w:w="3886"/>
      </w:tblGrid>
      <w:tr>
        <w:trPr/>
        <w:tc>
          <w:tcPr>
            <w:tcW w:w="55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Date:</w:t>
            </w:r>
          </w:p>
        </w:tc>
        <w:tc>
          <w:tcPr>
            <w:tcW w:w="114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May 4, 2026</w:t>
            </w:r>
          </w:p>
        </w:tc>
        <w:tc>
          <w:tcPr>
            <w:tcW w:w="3886" w:type="dxa"/>
            <w:tcBorders>
              <w:bottom w:val="single" w:sz="8" w:space="0" w:color="000000"/>
            </w:tcBorders>
            <w:tcMar>
              <w:top w:w="0" w:type="dxa"/>
              <w:left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/s/ Kevin J. Christie</w:t>
            </w:r>
          </w:p>
        </w:tc>
      </w:tr>
      <w:tr>
        <w:trPr/>
        <w:tc>
          <w:tcPr>
            <w:tcW w:w="556" w:type="dxa"/>
            <w:tcBorders/>
            <w:tcMar>
              <w:top w:w="0" w:type="dxa"/>
              <w:left w:w="0" w:type="dxa"/>
              <w:bottom w:w="0" w:type="dxa"/>
              <w:right w:w="0" w:type="dxa"/>
            </w:tcMar>
            <w:vAlign w:val="center"/>
          </w:tcPr>
          <w:p>
            <w:pPr>
              <w:pStyle w:val="TableContents"/>
              <w:bidi w:val="0"/>
              <w:spacing w:before="40" w:after="40"/>
              <w:jc w:val="left"/>
              <w:rPr/>
            </w:pPr>
            <w:r>
              <w:rPr/>
              <w:t> </w:t>
            </w:r>
          </w:p>
        </w:tc>
        <w:tc>
          <w:tcPr>
            <w:tcW w:w="1141" w:type="dxa"/>
            <w:tcBorders/>
            <w:tcMar>
              <w:top w:w="0" w:type="dxa"/>
              <w:left w:w="0" w:type="dxa"/>
              <w:bottom w:w="0" w:type="dxa"/>
              <w:right w:w="0" w:type="dxa"/>
            </w:tcMar>
            <w:vAlign w:val="center"/>
          </w:tcPr>
          <w:p>
            <w:pPr>
              <w:pStyle w:val="TableContents"/>
              <w:bidi w:val="0"/>
              <w:spacing w:before="40" w:after="40"/>
              <w:jc w:val="left"/>
              <w:rPr/>
            </w:pPr>
            <w:r>
              <w:rPr/>
              <w:t> </w:t>
            </w:r>
          </w:p>
        </w:tc>
        <w:tc>
          <w:tcPr>
            <w:tcW w:w="388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Kevin J. Christie</w:t>
            </w:r>
          </w:p>
        </w:tc>
      </w:tr>
      <w:tr>
        <w:trPr/>
        <w:tc>
          <w:tcPr>
            <w:tcW w:w="556" w:type="dxa"/>
            <w:tcBorders/>
            <w:tcMar>
              <w:top w:w="0" w:type="dxa"/>
              <w:left w:w="0" w:type="dxa"/>
              <w:bottom w:w="0" w:type="dxa"/>
              <w:right w:w="0" w:type="dxa"/>
            </w:tcMar>
            <w:vAlign w:val="center"/>
          </w:tcPr>
          <w:p>
            <w:pPr>
              <w:pStyle w:val="TableContents"/>
              <w:bidi w:val="0"/>
              <w:spacing w:before="40" w:after="40"/>
              <w:jc w:val="left"/>
              <w:rPr/>
            </w:pPr>
            <w:r>
              <w:rPr/>
              <w:t> </w:t>
            </w:r>
          </w:p>
        </w:tc>
        <w:tc>
          <w:tcPr>
            <w:tcW w:w="1141" w:type="dxa"/>
            <w:tcBorders/>
            <w:tcMar>
              <w:top w:w="0" w:type="dxa"/>
              <w:left w:w="0" w:type="dxa"/>
              <w:bottom w:w="0" w:type="dxa"/>
              <w:right w:w="0" w:type="dxa"/>
            </w:tcMar>
            <w:vAlign w:val="center"/>
          </w:tcPr>
          <w:p>
            <w:pPr>
              <w:pStyle w:val="TableContents"/>
              <w:bidi w:val="0"/>
              <w:spacing w:before="40" w:after="40"/>
              <w:jc w:val="left"/>
              <w:rPr/>
            </w:pPr>
            <w:r>
              <w:rPr/>
              <w:t> </w:t>
            </w:r>
          </w:p>
        </w:tc>
        <w:tc>
          <w:tcPr>
            <w:tcW w:w="388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Senior Vice President, Chief Financial Officer,</w:t>
            </w:r>
          </w:p>
        </w:tc>
      </w:tr>
      <w:tr>
        <w:trPr/>
        <w:tc>
          <w:tcPr>
            <w:tcW w:w="556" w:type="dxa"/>
            <w:tcBorders/>
            <w:tcMar>
              <w:top w:w="0" w:type="dxa"/>
              <w:left w:w="0" w:type="dxa"/>
              <w:bottom w:w="0" w:type="dxa"/>
              <w:right w:w="0" w:type="dxa"/>
            </w:tcMar>
            <w:vAlign w:val="center"/>
          </w:tcPr>
          <w:p>
            <w:pPr>
              <w:pStyle w:val="TableContents"/>
              <w:bidi w:val="0"/>
              <w:spacing w:before="40" w:after="40"/>
              <w:jc w:val="left"/>
              <w:rPr/>
            </w:pPr>
            <w:r>
              <w:rPr/>
              <w:t> </w:t>
            </w:r>
          </w:p>
        </w:tc>
        <w:tc>
          <w:tcPr>
            <w:tcW w:w="1141" w:type="dxa"/>
            <w:tcBorders/>
            <w:tcMar>
              <w:top w:w="0" w:type="dxa"/>
              <w:left w:w="0" w:type="dxa"/>
              <w:bottom w:w="0" w:type="dxa"/>
              <w:right w:w="0" w:type="dxa"/>
            </w:tcMar>
            <w:vAlign w:val="center"/>
          </w:tcPr>
          <w:p>
            <w:pPr>
              <w:pStyle w:val="TableContents"/>
              <w:bidi w:val="0"/>
              <w:spacing w:before="40" w:after="40"/>
              <w:jc w:val="left"/>
              <w:rPr/>
            </w:pPr>
            <w:r>
              <w:rPr/>
              <w:t> </w:t>
            </w:r>
          </w:p>
        </w:tc>
        <w:tc>
          <w:tcPr>
            <w:tcW w:w="388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Treasurer and Regulatory Affairs Officer</w:t>
            </w:r>
          </w:p>
        </w:tc>
      </w:tr>
      <w:tr>
        <w:trPr/>
        <w:tc>
          <w:tcPr>
            <w:tcW w:w="556" w:type="dxa"/>
            <w:tcBorders/>
            <w:tcMar>
              <w:top w:w="0" w:type="dxa"/>
              <w:left w:w="0" w:type="dxa"/>
              <w:bottom w:w="0" w:type="dxa"/>
              <w:right w:w="0" w:type="dxa"/>
            </w:tcMar>
            <w:vAlign w:val="center"/>
          </w:tcPr>
          <w:p>
            <w:pPr>
              <w:pStyle w:val="TableContents"/>
              <w:bidi w:val="0"/>
              <w:spacing w:before="40" w:after="40"/>
              <w:jc w:val="left"/>
              <w:rPr/>
            </w:pPr>
            <w:r>
              <w:rPr/>
              <w:t> </w:t>
            </w:r>
          </w:p>
        </w:tc>
        <w:tc>
          <w:tcPr>
            <w:tcW w:w="1141" w:type="dxa"/>
            <w:tcBorders/>
            <w:tcMar>
              <w:top w:w="0" w:type="dxa"/>
              <w:left w:w="0" w:type="dxa"/>
              <w:bottom w:w="0" w:type="dxa"/>
              <w:right w:w="0" w:type="dxa"/>
            </w:tcMar>
            <w:vAlign w:val="center"/>
          </w:tcPr>
          <w:p>
            <w:pPr>
              <w:pStyle w:val="TableContents"/>
              <w:bidi w:val="0"/>
              <w:spacing w:before="40" w:after="40"/>
              <w:jc w:val="left"/>
              <w:rPr/>
            </w:pPr>
            <w:r>
              <w:rPr/>
              <w:t> </w:t>
            </w:r>
          </w:p>
        </w:tc>
        <w:tc>
          <w:tcPr>
            <w:tcW w:w="388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60" w:name="ava-ex32.htm"/>
      <w:bookmarkStart w:id="61" w:name="ksavaex32"/>
      <w:bookmarkEnd w:id="60"/>
      <w:bookmarkEnd w:id="6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AVISTA CORPORATION</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CERTIFICATION OF CORPORATE OFFICERS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(Furnished Pursuant to 18 U.S.C. Section 1350, as Adopted Pursuant to Section 906 of the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Sarbanes-Oxley Act of 2002)</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of the undersigned, Heather L. Rosentrater, President and Chief Executive Officer of Avista Corporation (the “Company”), and Kevin J. Christie, Senior Vice President, Chief Financial Officer, Treasurer and Regulatory Affairs Officer of the Company, hereby certifies, pursuant to 18 U.S.C. Section 1350, as adopted pursuant to Section 906 of the Sarbanes-Oxley Act of 2002, that the Company’s Quarterly Report on Form 10-Q for the quarter ended March 31, 2026 fully complies with the requirements of Section 13(a) of the Securities Exchange Act of 1934, as amended, and that the information contained therein fairly presents, in all material respects, the financial condition and results of operations of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Date: May 4, 2026</w:t>
      </w:r>
    </w:p>
    <w:p>
      <w:pPr>
        <w:pStyle w:val="TextBody"/>
        <w:bidi w:val="0"/>
        <w:jc w:val="left"/>
        <w:rPr/>
      </w:pPr>
      <w:r>
        <w:rPr/>
        <w:t> </w:t>
      </w:r>
    </w:p>
    <w:tbl>
      <w:tblPr>
        <w:tblW w:w="4047" w:type="dxa"/>
        <w:jc w:val="left"/>
        <w:tblInd w:w="0" w:type="dxa"/>
        <w:tblLayout w:type="fixed"/>
        <w:tblCellMar>
          <w:top w:w="28" w:type="dxa"/>
          <w:left w:w="28" w:type="dxa"/>
          <w:bottom w:w="28" w:type="dxa"/>
          <w:right w:w="28" w:type="dxa"/>
        </w:tblCellMar>
      </w:tblPr>
      <w:tblGrid>
        <w:gridCol w:w="161"/>
        <w:gridCol w:w="3886"/>
      </w:tblGrid>
      <w:tr>
        <w:trPr/>
        <w:tc>
          <w:tcPr>
            <w:tcW w:w="161"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Heather L. Rosentrater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Heather L. Rosentrater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and Chief Executive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Kevin J. Christie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Kevin J. Christie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Senior Vice President, Chief Financial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Treasurer and Regulatory Affairs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image" Target="media/image3.gif"/><Relationship Id="rId5" Type="http://schemas.openxmlformats.org/officeDocument/2006/relationships/image" Target="media/image4.gif"/><Relationship Id="rId6" Type="http://schemas.openxmlformats.org/officeDocument/2006/relationships/image" Target="media/image5.gif"/><Relationship Id="rId7" Type="http://schemas.openxmlformats.org/officeDocument/2006/relationships/image" Target="media/image6.gif"/><Relationship Id="rId8" Type="http://schemas.openxmlformats.org/officeDocument/2006/relationships/image" Target="media/image7.gif"/><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23859</Words>
  <Characters>130417</Characters>
  <CharactersWithSpaces>155554</CharactersWithSpaces>
  <Paragraphs>7762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