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gif" ContentType="image/gif"/>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4"/>
        </w:rPr>
      </w:pPr>
      <w:bookmarkStart w:id="0" w:name="ava-20260630.htm"/>
      <w:bookmarkStart w:id="1" w:name="ksava20260630"/>
      <w:bookmarkEnd w:id="0"/>
      <w:bookmarkEnd w:id="1"/>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w:t>
            </w:r>
            <w:r>
              <w:rPr>
                <w:rFonts w:ascii="Times New Roman" w:hAnsi="Times New Roman"/>
                <w:b/>
                <w:color w:val="000000"/>
                <w:sz w:val="20"/>
              </w:rPr>
              <w:t>OR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TRANSITION PERIOD FROM TO</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1-3701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AVISTA CORPORATION</w:t>
      </w:r>
    </w:p>
    <w:p>
      <w:pPr>
        <w:pStyle w:val="TextBody"/>
        <w:pBdr>
          <w:top w:val="single" w:sz="4" w:space="1" w:color="000000"/>
        </w:pBdr>
        <w:bidi w:val="0"/>
        <w:spacing w:before="4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2746"/>
        <w:gridCol w:w="146"/>
        <w:gridCol w:w="168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91-0462470</w:t>
            </w:r>
          </w:p>
        </w:tc>
      </w:tr>
      <w:tr>
        <w:trPr/>
        <w:tc>
          <w:tcPr>
            <w:tcW w:w="274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1411 East Mission Avenue, Spokane, Washington</w:t>
      </w:r>
      <w:r>
        <w:rPr>
          <w:rFonts w:ascii="Times New Roman" w:hAnsi="Times New Roman"/>
          <w:color w:val="000000"/>
          <w:sz w:val="20"/>
        </w:rPr>
        <w:t xml:space="preserve"> </w:t>
      </w:r>
      <w:r>
        <w:rPr>
          <w:rFonts w:ascii="Times New Roman" w:hAnsi="Times New Roman"/>
          <w:b/>
          <w:color w:val="000000"/>
          <w:sz w:val="20"/>
        </w:rPr>
        <w:t>99202-2600</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509-489-0500</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None</w:t>
      </w:r>
    </w:p>
    <w:p>
      <w:pPr>
        <w:pStyle w:val="TextBody"/>
        <w:pBdr>
          <w:top w:val="single" w:sz="4" w:space="1" w:color="000000"/>
        </w:pBdr>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7720" w:type="dxa"/>
        <w:jc w:val="left"/>
        <w:tblInd w:w="0" w:type="dxa"/>
        <w:tblLayout w:type="fixed"/>
        <w:tblCellMar>
          <w:top w:w="28" w:type="dxa"/>
          <w:left w:w="28" w:type="dxa"/>
          <w:bottom w:w="28" w:type="dxa"/>
          <w:right w:w="28" w:type="dxa"/>
        </w:tblCellMar>
      </w:tblPr>
      <w:tblGrid>
        <w:gridCol w:w="1711"/>
        <w:gridCol w:w="146"/>
        <w:gridCol w:w="1696"/>
        <w:gridCol w:w="146"/>
        <w:gridCol w:w="402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24, 2026, 83,752,830 shares of Registrant’s Common Stock, no par value (the only class of common stock), were outstanding.</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AVISTA CORPORATION</w:t>
      </w:r>
    </w:p>
    <w:p>
      <w:pPr>
        <w:pStyle w:val="TextBody"/>
        <w:bidi w:val="0"/>
        <w:spacing w:before="0" w:after="140"/>
        <w:jc w:val="center"/>
        <w:rPr>
          <w:rFonts w:ascii="Times New Roman" w:hAnsi="Times New Roman"/>
          <w:color w:val="000000"/>
          <w:sz w:val="20"/>
          <w:u w:val="single"/>
        </w:rPr>
      </w:pPr>
      <w:bookmarkStart w:id="2" w:name="index"/>
      <w:bookmarkEnd w:id="2"/>
      <w:r>
        <w:rPr>
          <w:rFonts w:ascii="Times New Roman" w:hAnsi="Times New Roman"/>
          <w:color w:val="000000"/>
          <w:sz w:val="20"/>
          <w:u w:val="single"/>
        </w:rPr>
        <w:t>INDEX</w:t>
      </w:r>
    </w:p>
    <w:tbl>
      <w:tblPr>
        <w:tblW w:w="9029" w:type="dxa"/>
        <w:jc w:val="left"/>
        <w:tblInd w:w="0" w:type="dxa"/>
        <w:tblLayout w:type="fixed"/>
        <w:tblCellMar>
          <w:top w:w="28" w:type="dxa"/>
          <w:left w:w="28" w:type="dxa"/>
          <w:bottom w:w="28" w:type="dxa"/>
          <w:right w:w="28" w:type="dxa"/>
        </w:tblCellMar>
      </w:tblPr>
      <w:tblGrid>
        <w:gridCol w:w="736"/>
        <w:gridCol w:w="7366"/>
        <w:gridCol w:w="146"/>
        <w:gridCol w:w="781"/>
      </w:tblGrid>
      <w:tr>
        <w:trPr/>
        <w:tc>
          <w:tcPr>
            <w:tcW w:w="7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Item No.</w:t>
            </w:r>
          </w:p>
        </w:tc>
        <w:tc>
          <w:tcPr>
            <w:tcW w:w="73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 No.</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acronyms_terms">
              <w:r>
                <w:rPr>
                  <w:rStyle w:val="InternetLink"/>
                  <w:rFonts w:ascii="Times New Roman" w:hAnsi="Times New Roman"/>
                  <w:color w:val="0563C1"/>
                  <w:sz w:val="20"/>
                  <w:u w:val="single"/>
                </w:rPr>
                <w:t>Acronyms and Terms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iii</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forwardlooking_statements">
              <w:r>
                <w:rPr>
                  <w:rStyle w:val="InternetLink"/>
                  <w:rFonts w:ascii="Times New Roman" w:hAnsi="Times New Roman"/>
                  <w:color w:val="0563C1"/>
                  <w:sz w:val="20"/>
                  <w:u w:val="single"/>
                </w:rPr>
                <w:t>Forward-Looking Statements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available_information">
              <w:r>
                <w:rPr>
                  <w:rStyle w:val="InternetLink"/>
                  <w:rFonts w:ascii="Times New Roman" w:hAnsi="Times New Roman"/>
                  <w:color w:val="0563C1"/>
                  <w:sz w:val="20"/>
                  <w:u w:val="single"/>
                </w:rPr>
                <w:t>Available Information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6</w:t>
            </w:r>
          </w:p>
        </w:tc>
      </w:tr>
      <w:tr>
        <w:trPr/>
        <w:tc>
          <w:tcPr>
            <w:tcW w:w="8102"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563C1"/>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pPr>
            <w:r>
              <w:rPr/>
              <w:t> </w:t>
            </w:r>
          </w:p>
        </w:tc>
      </w:tr>
      <w:tr>
        <w:trPr/>
        <w:tc>
          <w:tcPr>
            <w:tcW w:w="73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item_1_condensed_consolidated_financial_">
              <w:r>
                <w:rPr>
                  <w:rStyle w:val="InternetLink"/>
                  <w:rFonts w:ascii="Times New Roman" w:hAnsi="Times New Roman"/>
                  <w:color w:val="0563C1"/>
                  <w:sz w:val="20"/>
                  <w:u w:val="single"/>
                </w:rPr>
                <w:t>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7</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income">
              <w:r>
                <w:rPr>
                  <w:rStyle w:val="InternetLink"/>
                  <w:rFonts w:ascii="Times New Roman" w:hAnsi="Times New Roman"/>
                  <w:color w:val="0563C1"/>
                  <w:sz w:val="20"/>
                  <w:u w:val="single"/>
                </w:rPr>
                <w:t>Condensed Consolidated Statements of Income and Comprehensive Income -</w:t>
                <w:b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7</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balance_sheets">
              <w:r>
                <w:rPr>
                  <w:rStyle w:val="InternetLink"/>
                  <w:rFonts w:ascii="Times New Roman" w:hAnsi="Times New Roman"/>
                  <w:color w:val="0563C1"/>
                  <w:sz w:val="20"/>
                  <w:u w:val="single"/>
                </w:rPr>
                <w:t>Condensed Consolidated Balance Sheets -</w:t>
                <w:br/>
                <w:t>June 30, 2026 and December 31,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8</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cash_f">
              <w:r>
                <w:rPr>
                  <w:rStyle w:val="InternetLink"/>
                  <w:rFonts w:ascii="Times New Roman" w:hAnsi="Times New Roman"/>
                  <w:color w:val="0563C1"/>
                  <w:sz w:val="20"/>
                  <w:u w:val="single"/>
                </w:rPr>
                <w:t>Condensed Consolidated Statements of Cash Flows -</w:t>
                <w:br/>
                <w:t>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9</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equity">
              <w:r>
                <w:rPr>
                  <w:rStyle w:val="InternetLink"/>
                  <w:rFonts w:ascii="Times New Roman" w:hAnsi="Times New Roman"/>
                  <w:color w:val="0563C1"/>
                  <w:sz w:val="20"/>
                  <w:u w:val="single"/>
                </w:rPr>
                <w:t>Condensed Consolidated Statements of Equity -</w:t>
                <w:b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d_financia">
              <w:r>
                <w:rPr>
                  <w:rStyle w:val="InternetLink"/>
                  <w:rFonts w:ascii="Times New Roman" w:hAnsi="Times New Roman"/>
                  <w:color w:val="0563C1"/>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_summary_significant_accounting_po">
              <w:r>
                <w:rPr>
                  <w:rStyle w:val="InternetLink"/>
                  <w:rFonts w:ascii="Times New Roman" w:hAnsi="Times New Roman"/>
                  <w:color w:val="0563C1"/>
                  <w:sz w:val="20"/>
                  <w:u w:val="single"/>
                </w:rPr>
                <w:t>Note 1. Summary of Significant Accounting Policies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2_new_accounting_stards">
              <w:r>
                <w:rPr>
                  <w:rStyle w:val="InternetLink"/>
                  <w:rFonts w:ascii="Times New Roman" w:hAnsi="Times New Roman"/>
                  <w:color w:val="0563C1"/>
                  <w:sz w:val="20"/>
                  <w:u w:val="single"/>
                </w:rPr>
                <w:t>Note 2. New Accounting Standards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3_balance_sheet_components">
              <w:r>
                <w:rPr>
                  <w:rStyle w:val="InternetLink"/>
                  <w:rFonts w:ascii="Times New Roman" w:hAnsi="Times New Roman"/>
                  <w:color w:val="0563C1"/>
                  <w:sz w:val="20"/>
                  <w:u w:val="single"/>
                </w:rPr>
                <w:t>Note 3. Balance Sheet Components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4_revenue">
              <w:r>
                <w:rPr>
                  <w:rStyle w:val="InternetLink"/>
                  <w:rFonts w:ascii="Times New Roman" w:hAnsi="Times New Roman"/>
                  <w:color w:val="0563C1"/>
                  <w:sz w:val="20"/>
                  <w:u w:val="single"/>
                </w:rPr>
                <w:t>Note 4. Revenue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17</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5_equity_method_investments">
              <w:r>
                <w:rPr>
                  <w:rStyle w:val="InternetLink"/>
                  <w:rFonts w:ascii="Times New Roman" w:hAnsi="Times New Roman"/>
                  <w:color w:val="0563C1"/>
                  <w:sz w:val="20"/>
                  <w:u w:val="single"/>
                </w:rPr>
                <w:t>Note 5. Equity Method Investments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5_derivatives_risk_management">
              <w:r>
                <w:rPr>
                  <w:rStyle w:val="InternetLink"/>
                  <w:rFonts w:ascii="Times New Roman" w:hAnsi="Times New Roman"/>
                  <w:color w:val="0563C1"/>
                  <w:sz w:val="20"/>
                  <w:u w:val="single"/>
                </w:rPr>
                <w:t>Note 6. Derivatives and Risk Management</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6_pension_plans_or_postretirement_b">
              <w:r>
                <w:rPr>
                  <w:rStyle w:val="InternetLink"/>
                  <w:rFonts w:ascii="Times New Roman" w:hAnsi="Times New Roman"/>
                  <w:color w:val="0563C1"/>
                  <w:sz w:val="20"/>
                  <w:u w:val="single"/>
                </w:rPr>
                <w:t>Note 7. Pension Plans and Other Postretirement Benefit Plans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7_income_taxes">
              <w:r>
                <w:rPr>
                  <w:rStyle w:val="InternetLink"/>
                  <w:rFonts w:ascii="Times New Roman" w:hAnsi="Times New Roman"/>
                  <w:color w:val="0563C1"/>
                  <w:sz w:val="20"/>
                  <w:u w:val="single"/>
                </w:rPr>
                <w:t>Note 8. Income Taxes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8_committed_lines_credit">
              <w:r>
                <w:rPr>
                  <w:rStyle w:val="InternetLink"/>
                  <w:rFonts w:ascii="Times New Roman" w:hAnsi="Times New Roman"/>
                  <w:color w:val="0563C1"/>
                  <w:sz w:val="20"/>
                  <w:u w:val="single"/>
                </w:rPr>
                <w:t>Note 9. Short-Term Borrowings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9_long_term_debt">
              <w:bookmarkStart w:id="3" w:name="toc_page"/>
              <w:bookmarkEnd w:id="3"/>
              <w:r>
                <w:rPr>
                  <w:rStyle w:val="InternetLink"/>
                  <w:rFonts w:ascii="Times New Roman" w:hAnsi="Times New Roman"/>
                  <w:color w:val="0563C1"/>
                  <w:sz w:val="20"/>
                  <w:u w:val="single"/>
                </w:rPr>
                <w:t>Note 10. Long-Term Debt</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0_longterm_debt_to_affiliated_trus">
              <w:r>
                <w:rPr>
                  <w:rStyle w:val="InternetLink"/>
                  <w:rFonts w:ascii="Times New Roman" w:hAnsi="Times New Roman"/>
                  <w:color w:val="0563C1"/>
                  <w:sz w:val="20"/>
                  <w:u w:val="single"/>
                </w:rPr>
                <w:t>Note 11. Long-Term Debt to Affiliated Trusts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1_fair_value">
              <w:r>
                <w:rPr>
                  <w:rStyle w:val="InternetLink"/>
                  <w:rFonts w:ascii="Times New Roman" w:hAnsi="Times New Roman"/>
                  <w:color w:val="0563C1"/>
                  <w:sz w:val="20"/>
                  <w:u w:val="single"/>
                </w:rPr>
                <w:t>Note 12. Fair Value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1_fair_value">
              <w:r>
                <w:rPr>
                  <w:rStyle w:val="InternetLink"/>
                  <w:rFonts w:ascii="Times New Roman" w:hAnsi="Times New Roman"/>
                  <w:color w:val="0563C1"/>
                  <w:sz w:val="20"/>
                  <w:u w:val="single"/>
                </w:rPr>
                <w:t>Note 13. Common Stock</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4_earnings_per_common_share_attrib">
              <w:r>
                <w:rPr>
                  <w:rStyle w:val="InternetLink"/>
                  <w:rFonts w:ascii="Times New Roman" w:hAnsi="Times New Roman"/>
                  <w:color w:val="0563C1"/>
                  <w:sz w:val="20"/>
                  <w:u w:val="single"/>
                </w:rPr>
                <w:t>Note 14. Earnings per Common Share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29</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5_commitments_contingencies">
              <w:r>
                <w:rPr>
                  <w:rStyle w:val="InternetLink"/>
                  <w:rFonts w:ascii="Times New Roman" w:hAnsi="Times New Roman"/>
                  <w:color w:val="0563C1"/>
                  <w:sz w:val="20"/>
                  <w:u w:val="single"/>
                </w:rPr>
                <w:t>Note 15. Commitments and Contingencies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29</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6_information_by_business_segments">
              <w:r>
                <w:rPr>
                  <w:rStyle w:val="InternetLink"/>
                  <w:rFonts w:ascii="Times New Roman" w:hAnsi="Times New Roman"/>
                  <w:color w:val="0563C1"/>
                  <w:sz w:val="20"/>
                  <w:u w:val="single"/>
                </w:rPr>
                <w:t>Note 16. Information by Business Segments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30</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563C1"/>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business_segments">
              <w:r>
                <w:rPr>
                  <w:rStyle w:val="InternetLink"/>
                  <w:rFonts w:ascii="Times New Roman" w:hAnsi="Times New Roman"/>
                  <w:color w:val="0563C1"/>
                  <w:sz w:val="20"/>
                  <w:u w:val="single"/>
                </w:rPr>
                <w:t>Business Segments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executive_level_summary">
              <w:r>
                <w:rPr>
                  <w:rStyle w:val="InternetLink"/>
                  <w:rFonts w:ascii="Times New Roman" w:hAnsi="Times New Roman"/>
                  <w:color w:val="0563C1"/>
                  <w:sz w:val="20"/>
                  <w:u w:val="single"/>
                </w:rPr>
                <w:t>Executive Overview</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gulatory_matters">
              <w:r>
                <w:rPr>
                  <w:rStyle w:val="InternetLink"/>
                  <w:rFonts w:ascii="Times New Roman" w:hAnsi="Times New Roman"/>
                  <w:color w:val="0563C1"/>
                  <w:sz w:val="20"/>
                  <w:u w:val="single"/>
                </w:rPr>
                <w:t>Regulatory Matters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f_operations_overall">
              <w:r>
                <w:rPr>
                  <w:rStyle w:val="InternetLink"/>
                  <w:rFonts w:ascii="Times New Roman" w:hAnsi="Times New Roman"/>
                  <w:color w:val="0563C1"/>
                  <w:sz w:val="20"/>
                  <w:u w:val="single"/>
                </w:rPr>
                <w:t>Results of Operations - Overall</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37</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perations_avista_utilities">
              <w:r>
                <w:rPr>
                  <w:rStyle w:val="InternetLink"/>
                  <w:rFonts w:ascii="Times New Roman" w:hAnsi="Times New Roman"/>
                  <w:color w:val="0563C1"/>
                  <w:sz w:val="20"/>
                  <w:u w:val="single"/>
                </w:rPr>
                <w:t>Results of Operations - Avista Utilities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39</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perations_alaska_electric_light">
              <w:r>
                <w:rPr>
                  <w:rStyle w:val="InternetLink"/>
                  <w:rFonts w:ascii="Times New Roman" w:hAnsi="Times New Roman"/>
                  <w:color w:val="0563C1"/>
                  <w:sz w:val="20"/>
                  <w:u w:val="single"/>
                </w:rPr>
                <w:t>Results of Operations - Alaska Electric Light and Power Company</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f_operations_other_businesses">
              <w:r>
                <w:rPr>
                  <w:rStyle w:val="InternetLink"/>
                  <w:rFonts w:ascii="Times New Roman" w:hAnsi="Times New Roman"/>
                  <w:color w:val="0563C1"/>
                  <w:sz w:val="20"/>
                  <w:u w:val="single"/>
                </w:rPr>
                <w:t>Results of Operations - Other Businesses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critical_accounting_policies">
              <w:r>
                <w:rPr>
                  <w:rStyle w:val="InternetLink"/>
                  <w:rFonts w:ascii="Times New Roman" w:hAnsi="Times New Roman"/>
                  <w:color w:val="0563C1"/>
                  <w:sz w:val="20"/>
                  <w:u w:val="single"/>
                </w:rPr>
                <w:t>Critical Accounting Policies and Estimates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52</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811"/>
        <w:gridCol w:w="49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liquidity_and_capital_resources">
              <w:r>
                <w:rPr>
                  <w:rStyle w:val="InternetLink"/>
                  <w:rFonts w:ascii="Times New Roman" w:hAnsi="Times New Roman"/>
                  <w:color w:val="0563C1"/>
                  <w:sz w:val="20"/>
                  <w:u w:val="single"/>
                </w:rPr>
                <w:t>Liquidity and Capital Resources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52</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overall_liquidity">
              <w:r>
                <w:rPr>
                  <w:rStyle w:val="InternetLink"/>
                  <w:rFonts w:ascii="Times New Roman" w:hAnsi="Times New Roman"/>
                  <w:color w:val="0563C1"/>
                  <w:sz w:val="20"/>
                  <w:u w:val="single"/>
                </w:rPr>
                <w:t>Overall Liquidity</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52</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review_of_cash_flow_statement">
              <w:r>
                <w:rPr>
                  <w:rStyle w:val="InternetLink"/>
                  <w:rFonts w:ascii="Times New Roman" w:hAnsi="Times New Roman"/>
                  <w:color w:val="0563C1"/>
                  <w:sz w:val="20"/>
                  <w:u w:val="single"/>
                </w:rPr>
                <w:t>Review of Condensed Consolidated Cash Flow Statement</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52</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capital_resources">
              <w:r>
                <w:rPr>
                  <w:rStyle w:val="InternetLink"/>
                  <w:rFonts w:ascii="Times New Roman" w:hAnsi="Times New Roman"/>
                  <w:color w:val="0563C1"/>
                  <w:sz w:val="20"/>
                  <w:u w:val="single"/>
                </w:rPr>
                <w:t>Capital Resources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53</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capital_expenditures">
              <w:r>
                <w:rPr>
                  <w:rStyle w:val="InternetLink"/>
                  <w:rFonts w:ascii="Times New Roman" w:hAnsi="Times New Roman"/>
                  <w:color w:val="0563C1"/>
                  <w:sz w:val="20"/>
                  <w:u w:val="single"/>
                </w:rPr>
                <w:t>Capital Expenditures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54</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pension_plan">
              <w:r>
                <w:rPr>
                  <w:rStyle w:val="InternetLink"/>
                  <w:rFonts w:ascii="Times New Roman" w:hAnsi="Times New Roman"/>
                  <w:color w:val="0563C1"/>
                  <w:sz w:val="20"/>
                  <w:u w:val="single"/>
                </w:rPr>
                <w:t>Pension Plan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54</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environmental_issues_and_contingencies">
              <w:r>
                <w:rPr>
                  <w:rStyle w:val="InternetLink"/>
                  <w:rFonts w:ascii="Times New Roman" w:hAnsi="Times New Roman"/>
                  <w:color w:val="0563C1"/>
                  <w:sz w:val="20"/>
                  <w:u w:val="single"/>
                </w:rPr>
                <w:t>Environmental Issues and Contingencies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enterprise_risk_management">
              <w:r>
                <w:rPr>
                  <w:rStyle w:val="InternetLink"/>
                  <w:rFonts w:ascii="Times New Roman" w:hAnsi="Times New Roman"/>
                  <w:color w:val="0563C1"/>
                  <w:sz w:val="20"/>
                  <w:u w:val="single"/>
                </w:rPr>
                <w:t>Enterprise 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55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7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563C1"/>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563C1"/>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rPr>
      </w:pPr>
      <w:bookmarkStart w:id="4" w:name="acronyms_terms"/>
      <w:bookmarkEnd w:id="4"/>
      <w:r>
        <w:rPr>
          <w:rFonts w:ascii="Times New Roman" w:hAnsi="Times New Roman"/>
          <w:color w:val="000000"/>
          <w:sz w:val="20"/>
        </w:rPr>
        <w:t>ACRONYMS AND TERMS</w:t>
      </w:r>
    </w:p>
    <w:p>
      <w:pPr>
        <w:pStyle w:val="TextBody"/>
        <w:bidi w:val="0"/>
        <w:jc w:val="center"/>
        <w:rPr>
          <w:rFonts w:ascii="Times New Roman" w:hAnsi="Times New Roman"/>
          <w:color w:val="000000"/>
          <w:sz w:val="20"/>
        </w:rPr>
      </w:pPr>
      <w:r>
        <w:rPr>
          <w:rFonts w:ascii="Times New Roman" w:hAnsi="Times New Roman"/>
          <w:color w:val="000000"/>
          <w:sz w:val="20"/>
        </w:rPr>
        <w:t>(The following acronyms and terms are found in multiple locations within the document)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29"/>
        <w:gridCol w:w="166"/>
        <w:gridCol w:w="8810"/>
      </w:tblGrid>
      <w:tr>
        <w:trPr/>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6"/>
                <w:u w:val="single"/>
              </w:rPr>
            </w:pPr>
            <w:r>
              <w:rPr>
                <w:rFonts w:ascii="Times New Roman" w:hAnsi="Times New Roman"/>
                <w:color w:val="000000"/>
                <w:sz w:val="16"/>
                <w:u w:val="single"/>
              </w:rPr>
              <w:t>Acronym/Term</w:t>
            </w:r>
          </w:p>
        </w:tc>
        <w:tc>
          <w:tcPr>
            <w:tcW w:w="8976" w:type="dxa"/>
            <w:gridSpan w:val="2"/>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6"/>
                <w:u w:val="single"/>
              </w:rPr>
            </w:pPr>
            <w:r>
              <w:rPr>
                <w:rFonts w:ascii="Times New Roman" w:hAnsi="Times New Roman"/>
                <w:color w:val="000000"/>
                <w:sz w:val="16"/>
                <w:u w:val="single"/>
              </w:rPr>
              <w:t>Meaning</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AEL&amp;P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Alaska Electric Light and Power Company, the primary operating subsidiary of AERC, which provides electric services in Juneau, Alaska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AERC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Alaska Energy and Resources Company, the Company's wholly-owned subsidiary based in Juneau, Alaska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AFUDC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Allowance for Funds Used During Construction, represents the cost of both the debt and equity funds used to finance utility plant additions during the construction period</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ASC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Accounting Standards Codification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ASU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Accounting Standards Update</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Capital</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Parent company to the Company’s non-utility businesses, with the exception of AJT Mining Properties, Inc., which is a subsidiary of AERC.</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Corp.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Corporation, the Company</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Utilities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Operating division of Avista Corp. (not a subsidiary) comprising the regulated utility operations in the Pacific Northwest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Capacity</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rate at which a particular generating source is capable of producing energy, measured in KW or MW</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Climate Commitment Act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Colstrip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coal-fired Colstrip Generating Plant in southeastern Montana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Cooling degree days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measure of the warmness of weather experienced, based on the extent to which the average of high and low temperatures for a day is above 65 degrees Fahrenheit (annual degree days above historic indicate warmer than average temperatures)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Energy</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amount of electricity produced or consumed over a period of time, measured in KWh or MWh. Also, refers to natural gas consumed and is measured in dekatherms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ERM</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Energy Recovery Mechanism, a mechanism for accounting and rate recovery of certain power supply costs accepted by the utility commission in the state of Washington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FASB</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Fixed Cost Adjustment, the electric and natural gas decoupling mechanism in Idaho</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FERC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Federal Energy Regulatory Commission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GAAP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Generally Accepted Accounting Principles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Heating degree days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measure of the coldness of weather experienced, based on the extent to which the average of high and low temperatures for a day falls below 65 degrees Fahrenheit (annual degree days below historic indicate warmer than average temperatures)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IPUC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Idaho Public Utilities Commission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KW, KWh</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Kilowatt (1000 watts): a measure of generating power or capability. Kilowatt-hour (1000 watt hours): a measure of energy produced over a period of time</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mmBTU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One million British Thermal Units, a thermal unit of measurement for natural gas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MW, MWh</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Megawatt: 1000 KW. Megawatt-hour: 1000 KWh</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MYRP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Multi-year rate plan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OPUC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Public Utility Commission of Oregon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Power Cost Adjustment mechanism, a procedure for accounting and rate recovery of certain power supply costs accepted by the utility commission in the state of Idaho</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PGA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Purchased Gas Adjustment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PPA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Power Purchase Agreement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ROE</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Return on equity</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66"/>
        <w:gridCol w:w="9348"/>
      </w:tblGrid>
      <w:tr>
        <w:trPr/>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48"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ROR</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Rate of return on rate base</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Right-of-use lease asset</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U.S. Securities and Exchange Commission</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SOFR</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Secured Overnight Financing Rate</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Therm</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Unit of measurement for natural gas; a therm is equal to approximately one hundred cubic feet (volume) or 100,000 BTUs (energy)</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Watt</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Unit of measurement of electric power or capability; a watt is equal to the rate of work represented by a current of one ampere under a pressure of one volt</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WUTC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Washington Utilities and Transportation Commission</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left"/>
        <w:rPr>
          <w:rFonts w:ascii="Times New Roman" w:hAnsi="Times New Roman"/>
          <w:b/>
          <w:color w:val="000000"/>
          <w:sz w:val="20"/>
          <w:u w:val="single"/>
        </w:rPr>
      </w:pPr>
      <w:bookmarkStart w:id="5" w:name="forwardlooking_statements"/>
      <w:bookmarkEnd w:id="5"/>
      <w:r>
        <w:rPr>
          <w:rFonts w:ascii="Times New Roman" w:hAnsi="Times New Roman"/>
          <w:b/>
          <w:color w:val="000000"/>
          <w:sz w:val="20"/>
          <w:u w:val="single"/>
        </w:rPr>
        <w:t>Forward-Looking Statements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From time to time, we make forward-looking statements such as statements regarding projected or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financial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goals and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environment;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plans for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statements are based upon underlying assumptions (many of which are based, in turn, upon further assumptions). Such statements are made both in our reports filed under the Securities Exchange Act of 1934, as amended (including this Quarterly Report on Form 10-Q), and elsewhere. Forward-looking statements are all statements except those of historical fact including, without limitation, those identified by the use of words that include “will,” “may,” “could,” “should,” “intends,” “plans,” “aspires,” “assumes,” “targets,” “seeks,” “anticipates,” “estimates,” “expects,” “forecasts,” “projects,” “predicts,” and similar expressions.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Forward-looking statements (including those made in this Quarterly Report on Form 10-Q) are subject to a variety of risks, uncertainties and other factors. Most of these factors are beyond our control. Any of these factors may have a significant effect on our operations, results of operations, financial condition or cash flows, and could cause actual results to differ materially from those anticipated in our statements. Such risks, uncertainties and other factors include, among others: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Regulatory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state and federal regulatory decisions or related judicial decisions that affect our ability to recover costs and earn a reasonable return, including, but not limited to, disallowance or delay in the recovery of capital investments, operating costs, commodity costs, the ordering of refunds to customers and discretion over allowed return on investment;</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loss of regulatory accounting treatment, which could require the write-off of regulatory assets and the loss of regulatory deferral and recovery mechanisms;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weather conditions, which affect both energy demand and electric generating capability, including the impact of precipitation and temperature on hydroelectric resources, the impact of wind patterns on wind-generated power, weather-sensitive customer demand, and similar impacts on supply and demand in the wholesale energy markets;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wildfires ignited, or allegedly ignited, by our equipment or facilities could cause significant loss of life and property or result in liability for resulting fire suppression costs and/or damages, thereby causing serious operational, reputational and financial harm;</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severe weather or natural disasters, including, but not limited to, avalanches, wind storms, wildfires, earthquakes, floods, extreme temperature events, snow and ice storms that could disrupt energy generation, transmission and distribution, as well as the availability and costs of fuel, materials, equipment, supplies and support services;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political unrest and/or conflicts between foreign nation-states, which could disrupt the global, national and local economy, result in increases in operating and capital costs, impact energy commodity prices or our ability to access energy resources, create disruption in supply chains, disrupt, weaken or create volatility in capital markets, and increase cyber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and physical security risks. In addition, any of these factors could negatively impact our liquidity and limit our access to capital, among other implications;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mechanical breakdowns or other incidents that could impair assets and may disrupt operations of our generation facilities, transmission, and electric and natural gas distribution systems or other operations and may require us to purchase replacement power or incur costs to repair our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interruptions in the delivery of natural gas by our suppliers, including physical problems with pipelines themselves, can disrupt our service of natural gas to our customers and/or impair our ability to operate gas-fired electric generating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or other incidents arising from or allegedly arising from our operations that could cause injuries to the public or property damage;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dam failure at a company-owned hydroelectric facility</w:t>
      </w:r>
      <w:r>
        <w:rPr>
          <w:rFonts w:ascii="Times New Roman" w:hAnsi="Times New Roman"/>
          <w:color w:val="212529"/>
          <w:sz w:val="20"/>
        </w:rPr>
        <w:t>;</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blackouts or disruptions of interconnected transmission systems (the regional power grid);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terrorist attacks, cyberattacks or other malicious acts that could disrupt or cause damage to our utility assets or to the national or regional economy in general, including effects of terrorism, cyberattacks, ransomware, or vandalism that damage or disrupt information technology systems;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pandemics, which could disrupt our business, as well as the global, national and local economy, resulting in a decline in customer demand, deterioration in the creditworthiness of our customers, increases in operating and capital costs, workforce shortages, losses or disruptions in our workforce due to vaccine mandates, delays in capital projects, disruption in supply chains, and disruption, weakness and volatility in capital markets. In addition, any of these factors could negatively impact our liquidity and limit our access to capital, among other implications;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work-force issues, including changes in collective bargaining unit agreements, strikes, work stoppages, the loss of key executives, availability of workers in a variety of skill areas, and our ability to recruit and retain employees;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availability and price of purchased power, fuel and natural gas, as well as transmission capacity;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costs of insurance, more restrictive coverage terms and our ability to obtain insurance;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delays or changes in construction costs, and/or our ability to obtain required permits and materials for present or prospective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health care costs and cost of health insurance provided to our employees and retirees;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operating costs, including effects of inflationary pressures;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third party construction of buildings, billboard signs, towers or other structures within our rights of way, or placement of fuel containers within close proximity to our transformers or other equipment, including overbuilding atop natural gas distribution lines;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loss of key suppliers for materials or services or other disruptions to the supply chain;</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adverse impacts to our Alaska electric utility (AEL&amp;P) that could result from an extended outage of its hydroelectric generating resources or their inability to deliver energy, due to their lack of interconnectivity to other electrical grids and the availability or cost of replacement power (diesel);</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changing river or reservoir regulation or operations at hydroelectric facilities not owned by us, which could impact our hydroelectric facilities downstream;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Climate Change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frequency and intensity of severe weather or natural disasters resulting from climate change that could disrupt energy generation, transmission and distribution, as well as the availability and costs of fuel, materials, equipment, supplies and support services;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 in the use, availability or abundancy of water resources and/or rights needed for operation of our hydroelectric facilities, including impacts resulting from climate change;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long-term climate and weather could materially affect, among other things, customer demand, the volume and timing of streamflows required for hydroelectric generation, costs of generation, transmission and distribution. Increased or new risks may arise from severe weather or natural disasters, including wildfires as well as their increased occurrence and intensity related to changes in climate;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Cybersecurity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cyberattacks on the operating systems used in the operation of our electric generation, transmission and distribution facilities and our natural gas distribution facilities, and cyberattacks on such systems of other energy companies with which we are interconnected, which could damage or destroy facilities or systems or disrupt operations for extended periods of time and result in the incurrence of liabilities and costs;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cyberattacks on the administrative systems used in the administration of our business, including customer billing and customer service, accounting, communications, compliance and other administrative functions, and cyberattacks on such systems of our vendors and other companies with which we do business, resulting in the disruption of business operations, the release of private information and the incurrence of liabilities and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Technology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technologies, possibly making some of the current technology we utilize obsolete or introducing new cybersecurity risks and other new risks inherent in the use, by either us or our counterparties, of new technologies in the developmental stage including, without limitation, generative artificial intelligence;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costs that impede our ability to implement new information technology systems or to operate and maintain current production technology;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insufficient technology skills, which could lead to the inability to develop, modify or maintain our information systems;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growth or decline of our customer base due to new uses for our services or decline in existing services, including, but not limited to, the effect of the trend toward distributed generation at customer sites;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negative publicity regarding our business practices, whether true or not, which could hurt our reputation and result in litigation or a decline in our common stock price;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our strategic business plans, which could be affected by any or all of the foregoing, including the entry into new businesses and/or the exit from existing businesses and the extent of our business development efforts where potential future business is uncertain;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wholesale and retail competition including alternative energy sources, growth in customer-owned power resource technologies that displace utility-supplied energy or may be sold back to the utility, and alternative energy suppliers and delivery arrangements;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non-regulated activities may increase earnings volatility and result in investment losses;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risk of municipalization or other forms of service territory reduction;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External Mandates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environmental laws, regulations, decisions and policies, including, but not limited to, regulatory responses to concerns regarding climate change, efforts to restore anadromous fish in areas currently blocked by dams, more stringent requirements related to air quality, water quality and waste management, present and potential environmental remediation costs and our compliance with these matters;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initiatives, legislation or administrative rulemaking at the federal, state or local levels, including possible effects on our generating resources, prohibitions or restrictions on new or existing services, or restrictions on greenhouse gas emissions to mitigate concerns over climate changes, including future limitations on the usage and distribution of natural gas;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restrictions or changes in government grant programs and/or availability of other public funding used for capital projects;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political pressures or regulatory practices that could constrain or place additional cost burdens on our distribution systems through accelerated adoption of distributed generation or electric-powered transportation or on our energy supply sources, such as campaigns to halt fossil fuel-fired power generation and opposition to other thermal generation, wind turbines or hydroelectric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failure to identify changes in legislation, taxation and regulatory issues that could be detrimental or beneficial to our overall business;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policy and/or legislative changes in various regulated areas, including, but not limited to, environmental regulation, healthcare regulations and import/export regulations;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increasing costs due to potential tariffs applied to energy commodities and/or equipment and materials;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our ability to obtain financing through the issuance of debt and/or equity securities and access to our funds held with financial institutions, which could be affected by various factors including our credit ratings, interest rates, other capital market conditions and global economic conditions;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interest rates that affect borrowing costs, variable interest rate borrowing and the extent to which we recover interest costs through retail rates collected from customers;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in energy commodity markets that affects our ability to effectively hedge energy commodity risks, including cash flow impacts and requirements for collateral;</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in the carbon emissions allowances market that could result in increased compliance costs;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actuarial assumptions, interest rates and the actual return on plan assets for our pension and other postretirement benefit plans, which could affect future funding obligations, pension and other postretirement benefit expense and the related liabilities;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outcome of legal proceedings and other contingencies;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economic conditions in our service areas, including the economy's effects on customer demand for utility services;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economic conditions nationally may affect the valuation of our unregulated portfolio companies;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declining electricity demand related to customer energy efficiency, conservation measures and/or increased distributed generation and declining natural gas demand related to customer energy efficiency, conservation measures and/or increased electrification;</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industry and geographic concentrations which could increase our exposure to credit risks due to counterparties, suppliers and customers being similarly affected by changing conditions;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deterioration in the creditworthiness of our customers;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activist shareholders may result in additional costs and resources required in response to activist 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and illiquidity in wholesale energy markets, including exchanges, the availability of willing buyers and sellers, changes in wholesale energy prices that could affect operating income, cash requirements to purchase electricity and natural gas, value received for wholesale sales, collateral required of us by individual counterparties and/or exchanges in wholesale energy transactions and credit risk from such transactions, and the market value of derivative assets and liabilities;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default or nonperformance on the part of parties from whom we purchase and/or sell capacity or energy;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potential environmental regulations or lawsuits affecting our ability to utilize or resulting in the obsolescence of our power supply resources;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pipeline ruptures or other incidents that could limit energy supply to our facilities or our surrounding territory, which could result in a shortage of commodities in the market that could increase the cost of replacement commodities from other 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Compliance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laws, regulations, decisions and policies at the federal, state or local levels, which could impact both our electric and gas operations and costs of operations;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ability to comply with the terms of the licenses and permits for our hydroelectric or thermal generating facilities at cost-effective levels;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Resource Adequacy Risk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ability to source and deliver adequate energy to meet customer demand in periods of high demand or unplanned </w:t>
      </w:r>
      <w:r>
        <w:rPr>
          <w:rFonts w:ascii="Times New Roman" w:hAnsi="Times New Roman"/>
          <w:color w:val="212529"/>
          <w:sz w:val="20"/>
        </w:rPr>
        <w:t>events; and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regional wholesale market strains, including during extreme weather events.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expectations, beliefs and projections are expressed in good faith. We believe they are reasonable based on, without limitation, an examination of historical operating trends, our records and other information available from third parties. However, there can be no assurance that our expectations, beliefs or projections will be achieved. Furthermore, any forward-looking statement speaks only as of the date on which such statement is made. We undertake no obligation to update any forward-looking statement or statements to reflect events or circumstances that occur after the date on which such statement is made or to reflect the occurrence of unanticipated events. New risks, uncertainties and other factors emerge from time to time, and it is not possible to predict all such factors, nor can we assess the effect of each such factor on our business or the extent that any such factor or combination of factors may cause actual results to differ materially from those contained in any forward-looking statement.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6" w:name="available_information"/>
      <w:bookmarkEnd w:id="6"/>
      <w:r>
        <w:rPr>
          <w:rFonts w:ascii="Times New Roman" w:hAnsi="Times New Roman"/>
          <w:b/>
          <w:color w:val="000000"/>
          <w:sz w:val="20"/>
          <w:u w:val="single"/>
        </w:rPr>
        <w:t>Available Information</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We file annual, quarterly and current reports and proxy statements with the SEC. The SEC maintains a website that contains these documents at www.sec.gov. We make annual, quarterly and current reports and proxy statements available on our website, https://investor.avistacorp.com, as soon as practicable after electronically filing these documents with the SEC. Except for SEC filings or portions thereof specifically referred to in this report, information contained on these websites is not part of this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bookmarkStart w:id="7" w:name="part_i_financial_information"/>
      <w:bookmarkEnd w:id="7"/>
      <w:r>
        <w:rPr>
          <w:rFonts w:ascii="Times New Roman" w:hAnsi="Times New Roman"/>
          <w:b/>
          <w:color w:val="000000"/>
          <w:sz w:val="20"/>
          <w:u w:val="single"/>
        </w:rPr>
        <w:t>PART I. Financial Information</w:t>
      </w:r>
    </w:p>
    <w:p>
      <w:pPr>
        <w:pStyle w:val="TextBody"/>
        <w:bidi w:val="0"/>
        <w:spacing w:before="120" w:after="283"/>
        <w:jc w:val="left"/>
        <w:rPr>
          <w:rFonts w:ascii="Times New Roman" w:hAnsi="Times New Roman"/>
          <w:b/>
          <w:color w:val="000000"/>
          <w:sz w:val="20"/>
          <w:u w:val="single"/>
        </w:rPr>
      </w:pPr>
      <w:bookmarkStart w:id="8" w:name="item_1_condensed_consolidated_financial_"/>
      <w:bookmarkEnd w:id="8"/>
      <w:r>
        <w:rPr>
          <w:rFonts w:ascii="Times New Roman" w:hAnsi="Times New Roman"/>
          <w:b/>
          <w:color w:val="000000"/>
          <w:sz w:val="20"/>
          <w:u w:val="single"/>
        </w:rPr>
        <w:t>Item 1. Condensed Consolidated Financial Statements</w:t>
      </w:r>
    </w:p>
    <w:p>
      <w:pPr>
        <w:pStyle w:val="TextBody"/>
        <w:bidi w:val="0"/>
        <w:spacing w:before="120" w:after="283"/>
        <w:jc w:val="left"/>
        <w:rPr>
          <w:rFonts w:ascii="Times New Roman" w:hAnsi="Times New Roman"/>
          <w:color w:val="000000"/>
          <w:sz w:val="20"/>
        </w:rPr>
      </w:pPr>
      <w:bookmarkStart w:id="9" w:name="condensed_consolidated_statements_income"/>
      <w:bookmarkEnd w:id="9"/>
      <w:r>
        <w:rPr>
          <w:rFonts w:ascii="Times New Roman" w:hAnsi="Times New Roman"/>
          <w:color w:val="000000"/>
          <w:sz w:val="20"/>
        </w:rPr>
        <w:t>CONDENSED CONSOLIDATED STATEMENTS OF INCOME AND COMPREHENSIVE INCOME</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w:t>
      </w:r>
    </w:p>
    <w:p>
      <w:pPr>
        <w:pStyle w:val="TextBody"/>
        <w:bidi w:val="0"/>
        <w:jc w:val="left"/>
        <w:rPr>
          <w:rFonts w:ascii="Times New Roman" w:hAnsi="Times New Roman"/>
          <w:color w:val="000000"/>
          <w:sz w:val="20"/>
        </w:rPr>
      </w:pPr>
      <w:r>
        <w:rPr>
          <w:rFonts w:ascii="Times New Roman" w:hAnsi="Times New Roman"/>
          <w:color w:val="000000"/>
          <w:sz w:val="20"/>
        </w:rPr>
        <w:t>Dollars in millions, except per share amounts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99"/>
        <w:gridCol w:w="146"/>
        <w:gridCol w:w="219"/>
        <w:gridCol w:w="703"/>
        <w:gridCol w:w="172"/>
        <w:gridCol w:w="151"/>
        <w:gridCol w:w="219"/>
        <w:gridCol w:w="703"/>
        <w:gridCol w:w="166"/>
        <w:gridCol w:w="146"/>
        <w:gridCol w:w="211"/>
        <w:gridCol w:w="676"/>
        <w:gridCol w:w="166"/>
        <w:gridCol w:w="146"/>
        <w:gridCol w:w="211"/>
        <w:gridCol w:w="676"/>
        <w:gridCol w:w="995"/>
      </w:tblGrid>
      <w:tr>
        <w:trPr/>
        <w:tc>
          <w:tcPr>
            <w:tcW w:w="4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Utility revenues, exclusive of alternative revenue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Alternative revenue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Utility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Non-utility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to affiliated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method earnings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earnings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and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(thousands),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80,466</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(thousands),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80,542</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10" w:name="condensed_consolidated_balance_sheets"/>
      <w:bookmarkEnd w:id="10"/>
      <w:r>
        <w:rPr>
          <w:rFonts w:ascii="Times New Roman" w:hAnsi="Times New Roman"/>
          <w:color w:val="000000"/>
          <w:sz w:val="20"/>
        </w:rPr>
        <w:t>CONDENSED CONSOLIDATED BALANCE SHEETS</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0"/>
        <w:gridCol w:w="146"/>
        <w:gridCol w:w="211"/>
        <w:gridCol w:w="571"/>
        <w:gridCol w:w="166"/>
        <w:gridCol w:w="146"/>
        <w:gridCol w:w="256"/>
        <w:gridCol w:w="697"/>
        <w:gridCol w:w="792"/>
      </w:tblGrid>
      <w:tr>
        <w:trPr/>
        <w:tc>
          <w:tcPr>
            <w:tcW w:w="7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receivable-less allowances of $6 and $5,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utility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investments-net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other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Notes to Condensed Consolidated</w:t>
              <w:br/>
              <w:t>   Financial Statements)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no par value; 200,000 shares authorized; 83,752 and 82,193 shares issued and outstanding, respectively (shares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11" w:name="condensed_consolidated_statements_cash_f"/>
      <w:bookmarkEnd w:id="11"/>
      <w:r>
        <w:rPr>
          <w:rFonts w:ascii="Times New Roman" w:hAnsi="Times New Roman"/>
          <w:color w:val="000000"/>
          <w:sz w:val="20"/>
        </w:rPr>
        <w:t>CONDENSED CONSOLIDATED STATEMENTS OF CASH FLOWS</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w:t>
      </w:r>
    </w:p>
    <w:p>
      <w:pPr>
        <w:pStyle w:val="TextBody"/>
        <w:bidi w:val="0"/>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6156"/>
        <w:gridCol w:w="146"/>
        <w:gridCol w:w="211"/>
        <w:gridCol w:w="481"/>
        <w:gridCol w:w="166"/>
        <w:gridCol w:w="146"/>
        <w:gridCol w:w="211"/>
        <w:gridCol w:w="481"/>
        <w:gridCol w:w="611"/>
      </w:tblGrid>
      <w:tr>
        <w:trPr/>
        <w:tc>
          <w:tcPr>
            <w:tcW w:w="6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items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(benefit from)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and natural gas cost deferrals,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Equity-related AFUDC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Pension and other postretirement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regulatory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deferred debits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decoupling regulatory deferral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and unrealized (gains) losses on assets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method (earnings)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to defined benefit pension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certain current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Collateral for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Utility property capital expenditures (excluding equity-related AFUDC)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made in equity investments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CONDENSED CONSOLIDATED STATEMENTS OF CASH FLOWS (continued)</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w:t>
      </w:r>
    </w:p>
    <w:p>
      <w:pPr>
        <w:pStyle w:val="TextBody"/>
        <w:bidi w:val="0"/>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6409" w:type="dxa"/>
        <w:jc w:val="left"/>
        <w:tblInd w:w="0" w:type="dxa"/>
        <w:tblLayout w:type="fixed"/>
        <w:tblCellMar>
          <w:top w:w="28" w:type="dxa"/>
          <w:left w:w="28" w:type="dxa"/>
          <w:bottom w:w="28" w:type="dxa"/>
          <w:right w:w="28" w:type="dxa"/>
        </w:tblCellMar>
      </w:tblPr>
      <w:tblGrid>
        <w:gridCol w:w="4321"/>
        <w:gridCol w:w="146"/>
        <w:gridCol w:w="211"/>
        <w:gridCol w:w="421"/>
        <w:gridCol w:w="166"/>
        <w:gridCol w:w="146"/>
        <w:gridCol w:w="211"/>
        <w:gridCol w:w="376"/>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Maturity of long-term debt and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12" w:name="condensed_consolidated_statements_equity"/>
      <w:bookmarkEnd w:id="12"/>
      <w:r>
        <w:rPr>
          <w:rFonts w:ascii="Times New Roman" w:hAnsi="Times New Roman"/>
          <w:color w:val="000000"/>
          <w:sz w:val="20"/>
        </w:rPr>
        <w:t>CONDENSED CONSOLIDATED STATEMENTS OF EQUITY</w:t>
      </w:r>
    </w:p>
    <w:p>
      <w:pPr>
        <w:pStyle w:val="TextBody"/>
        <w:pBdr>
          <w:bottom w:val="single" w:sz="2"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w:t>
      </w:r>
    </w:p>
    <w:p>
      <w:pPr>
        <w:pStyle w:val="TextBody"/>
        <w:bidi w:val="0"/>
        <w:jc w:val="left"/>
        <w:rPr>
          <w:rFonts w:ascii="Times New Roman" w:hAnsi="Times New Roman"/>
          <w:color w:val="000000"/>
          <w:sz w:val="20"/>
        </w:rPr>
      </w:pPr>
      <w:r>
        <w:rPr>
          <w:rFonts w:ascii="Times New Roman" w:hAnsi="Times New Roman"/>
          <w:color w:val="000000"/>
          <w:sz w:val="20"/>
        </w:rPr>
        <w:t>Dollars in millions, except per share amounts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3"/>
        <w:gridCol w:w="146"/>
        <w:gridCol w:w="220"/>
        <w:gridCol w:w="705"/>
        <w:gridCol w:w="172"/>
        <w:gridCol w:w="152"/>
        <w:gridCol w:w="220"/>
        <w:gridCol w:w="705"/>
        <w:gridCol w:w="166"/>
        <w:gridCol w:w="146"/>
        <w:gridCol w:w="211"/>
        <w:gridCol w:w="676"/>
        <w:gridCol w:w="166"/>
        <w:gridCol w:w="146"/>
        <w:gridCol w:w="211"/>
        <w:gridCol w:w="676"/>
        <w:gridCol w:w="414"/>
      </w:tblGrid>
      <w:tr>
        <w:trPr/>
        <w:tc>
          <w:tcPr>
            <w:tcW w:w="5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Shares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outstanding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minimum tax withholdings for share-based payment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40" w:after="40"/>
        <w:jc w:val="left"/>
        <w:rPr>
          <w:rFonts w:ascii="Times New Roman" w:hAnsi="Times New Roman"/>
          <w:b/>
          <w:color w:val="000000"/>
          <w:sz w:val="20"/>
        </w:rPr>
      </w:pPr>
      <w:bookmarkStart w:id="13" w:name="notes_to_condensed_consolidated_financia"/>
      <w:bookmarkEnd w:id="13"/>
      <w:r>
        <w:rPr>
          <w:rFonts w:ascii="Times New Roman" w:hAnsi="Times New Roman"/>
          <w:b/>
          <w:color w:val="000000"/>
          <w:sz w:val="20"/>
        </w:rPr>
        <w:t>NOTES TO CONDENSED CONSOLIDATED FINANCIAL STATEMENTS (Unaudited)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Avista Corp. as of and for the interim periods ended June 30, 2026 and June 30, 2025 are unaudited; however, in the opinion of management, the statements reflect all adjustments necessary for a fair statement of the results for the interim periods. All such adjustments are of a normal recurring nature. The condensed consolidated financial statements have been prepared in accordance with GAAP for interim financial information and with the instructions to Form 10-Q and Rule 10-01 of Regulation S-X. The Condensed Consolidated Statements of Income and Comprehensive Income for the interim periods are not necessarily indicative of the results expected for the full year. These condensed consolidated financial statements do not contain the detail or footnote disclosure concerning accounting policies and other matters which would be included in full fiscal year consolidated financial statements; therefore, they should be read in conjunction with the Company's audited consolidated financial statements included in the Company's Annual Report on Form 10-K for the year ended December 31, 2025 (2025 Form 10-K).</w:t>
      </w:r>
    </w:p>
    <w:p>
      <w:pPr>
        <w:pStyle w:val="TextBody"/>
        <w:bidi w:val="0"/>
        <w:spacing w:before="240" w:after="283"/>
        <w:jc w:val="left"/>
        <w:rPr>
          <w:rFonts w:ascii="Times New Roman" w:hAnsi="Times New Roman"/>
          <w:b/>
          <w:color w:val="000000"/>
          <w:sz w:val="20"/>
        </w:rPr>
      </w:pPr>
      <w:bookmarkStart w:id="14" w:name="note_1_summary_significant_accounting_po"/>
      <w:bookmarkEnd w:id="14"/>
      <w:r>
        <w:rPr>
          <w:rFonts w:ascii="Times New Roman" w:hAnsi="Times New Roman"/>
          <w:b/>
          <w:color w:val="000000"/>
          <w:sz w:val="20"/>
        </w:rPr>
        <w:t>NOTE 1.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 is primarily an electric and natural gas utility with certain other business ventures. Avista Utilities is an operating division of Avista Corp., comprising its regulated utility operations in the Pacific Northwest. Avista Utilities provides electric distribution and transmission, and natural gas distribution services in parts of eastern Washington and northern Idaho. Avista Utilities also provides natural gas distribution service in parts of northeastern and southwestern Oregon. Avista Utilities has electric generating facilities in Washington, Idaho, Oregon and Montana. Avista Utilities also supplies electricity to a small number of customers in Montana.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AERC is a wholly-owned subsidiary of Avista Corp. The primary subsidiary of AERC is AEL&amp;P, which comprises Avista Corp.'s regulated utility operations in Alaska.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Capital, a wholly owned non-regulated subsidiary of Avista Corp., is the parent company of the subsidiary companies in the non-utility businesses, except AJT Mining Properties, Inc., which is a subsidiary of AERC. See Note 16 for business segment information.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assets, liabilities, revenues and expenses of the Company and its subsidiaries and other majority owned subsidiaries and variable interest entities for which the Company or its subsidiaries are the primary beneficiaries. Intercompany balances are eliminated in consolidation. The accompanying condensed consolidated financial statements include the Company’s proportionate share of utility plant and related operations associated with its interests in jointly owned plants.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state regulation in Washington, Idaho, Montana, Oregon and Alaska. The Company is subject to federal regulation primarily by the FERC, as well as various other federal agencies with regulatory oversight of particular aspects of its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Derivative Assets and Liabilities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Derivatives are recorded as either assets or liabilities on the Condensed Consolidated Balance Sheets measured at estimated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WUTC and the IPUC issued accounting orders authorizing Avista Corp. to offset energy commodity derivative assets or liabilities with a regulatory liability or asset. This accounting treatment is intended to defer the recognition of mark-to-market gains and losses on energy commodity transactions until the period of delivery. Realized benefits and costs result in adjustments to retail rates through the ERM in Washington, the PCA mechanism in Idaho, PGAs, and periodic general rate cases. The resulting regulatory assets associated with energy commodity derivative instruments are probable of recovery through future rates.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forward contracts to purchase or sell power and natural gas are recorded as derivative assets or liabilities at estimated fair value with an offsetting regulatory liability or asset. Contracts not considered derivatives are accounted for on the accrual basis until they are settled or realized unless there is a decline in the fair value of the contract determined to be other-than-temporary.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entered interest rate swap derivatives as risk management tools and has associated regulatory assets and liabilities. The regulatory asset or liability is amortized as a component of interest expense over the term of the associated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multiple master agreements with a variety of entities allowing for cross-commodity netting of derivative agreements with the same counterparty (e.g. power derivatives can be netted with natural gas derivatives under certain conditions). In addition, some master agreements allow for the netting of commodity derivatives and interest rate swap derivatives for the same counterparty. The Company does not have agreements which allow for cross-affiliate netting among multiple affiliated legal entities. The Company nets all derivative instruments when allowed by the agreement for presentation in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represents the price that would be received when selling an asset or paid to transfer a liability (an exit price) in an orderly transaction between market participants at the measurement date. Derivative assets and liabilities, deferred compensation assets, and some equity investments are reported at estimated fair value on the Condensed Consolidated Balance Sheets. See Note 12 for the Company’s fair value disclosures.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unresolved regulatory, legal and tax issues which have inherently uncertain outcomes. The Company accrues a loss contingency if it is probable that a liability has been incurred and the amount of the loss or impairment can be reasonably estimated. The Company also discloses loss contingencies that do not meet these conditions for accrual if there is a reasonable possibility that a material loss may be incurred. See Note 15 for further discussion of the Company's commitments and contingencies.</w:t>
      </w:r>
    </w:p>
    <w:p>
      <w:pPr>
        <w:pStyle w:val="TextBody"/>
        <w:bidi w:val="0"/>
        <w:spacing w:before="240" w:after="283"/>
        <w:jc w:val="left"/>
        <w:rPr>
          <w:rFonts w:ascii="Times New Roman" w:hAnsi="Times New Roman"/>
          <w:b/>
          <w:color w:val="000000"/>
          <w:sz w:val="20"/>
        </w:rPr>
      </w:pPr>
      <w:bookmarkStart w:id="15" w:name="note_2_new_accounting_stards"/>
      <w:bookmarkEnd w:id="15"/>
      <w:r>
        <w:rPr>
          <w:rFonts w:ascii="Times New Roman" w:hAnsi="Times New Roman"/>
          <w:b/>
          <w:color w:val="000000"/>
          <w:sz w:val="20"/>
        </w:rPr>
        <w:t>NOTE 2. NEW ACCOUNTING STANDARDS</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2023-06 "Disclosure Improvements - Codification Amendments in Response to the SEC's Disclosure Update and Simplification Initiative"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October 2023, the FASB issued ASU 2023-06, which incorporates a variety of SEC required disclosures into the FASB Accounting Standards Codification (ASC). For entities subject to SEC's existing disclosure requirements, the effective date for each amendment will be the date on which the SEC removes the related disclosure from Regulation S-X or Regulation S-K, with early adoption permitted. If the SEC has not removed the applicable requirement from Regulation S-X or Regulation S-K by June 30, 2027, the disclosure requirements will be removed from the Codification. The requirements of the ASU will not have a material impact on the Company's financial statements.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2024-03 "Disaggregation of Income Statement Expenses"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November 2024, the FASB issued ASU 2024-03, requiring additional footnote disclosures disaggregating certain expenses included on the income statement. The ASU is effective for annual reporting periods beginning after December 15, 2026 and interim reporting periods beginning after December 15, 2027, and early adoption is permitted. The Company is in the process of evaluating the impact of the ASU; however, it has determined it will not early adopt in 2026.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2025-05 "Measurement of Credit Losses for Accounts Receivable and Contract Assets"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July 2025, the FASB issued ASU 2025-05, providing a practical expedient that may be elected to assume current conditions as of the balance sheet date will remain unchanged for the remaining life of the receivable when developing an estimate of expected credit losses on accounts receivable arising from contracts with customers. The ASU is effective for annual reporting periods beginning after December 15, 2025 and interim reporting periods within those annual periods, and early adoption is permitted. The Company elected to utilize the practical expedient, effective January 1, 2026, which did not have a material impact on the financial statements.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2025-06 "Targeted Improvements to the Accounting for Internal-Use Software"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September 2025, the FASB issued ASU 2025-06, which updates the capitalization criteria for internally developed software projects. The ASU is effective for annual reporting periods beginning after December 15, 2027 and interim reporting periods within those annual periods, and early adoption is permitted. The Company is in the process of evaluating the impact of the ASU; however, it has determined it will not early adopt in 2026.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2025-10 "Accounting for Government Grants Received by Business Entities"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 December 2025, the FASB issued ASU 2025-10, which establishes authoritative accounting guidance for government grants received by a business entity. The ASU is effective for annual reporting periods beginning after December 15, 2028 and interim reporting periods within those annual periods, and early adoption is permitted. The Company is in the process of evaluating the impact of the ASU; however, it has determined it will not early adopt in 2026.</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2026-02 "Environmental Credits and Environmental Credit Obligations (Topic 818)"</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May 2026, the FASB issued ASU 2026-02, which establishes specific authoritative guidance for environmental credits and environmental credit obligations. The ASU is effective for annual reporting periods beginning after December 15, 2027 and interim reporting periods within those annual periods, and early adoption is permitted. The Company is in the process of evaluating the impact of the ASU; however, it has determined it will not early adopt in 2026. </w:t>
      </w:r>
    </w:p>
    <w:p>
      <w:pPr>
        <w:pStyle w:val="TextBody"/>
        <w:bidi w:val="0"/>
        <w:spacing w:before="240" w:after="283"/>
        <w:jc w:val="left"/>
        <w:rPr>
          <w:rFonts w:ascii="Times New Roman" w:hAnsi="Times New Roman"/>
          <w:b/>
          <w:color w:val="000000"/>
          <w:sz w:val="20"/>
        </w:rPr>
      </w:pPr>
      <w:bookmarkStart w:id="16" w:name="note_3_balance_sheet_components"/>
      <w:bookmarkEnd w:id="16"/>
      <w:r>
        <w:rPr>
          <w:rFonts w:ascii="Times New Roman" w:hAnsi="Times New Roman"/>
          <w:b/>
          <w:color w:val="000000"/>
          <w:sz w:val="20"/>
        </w:rPr>
        <w:t>NOTE 3.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Inventories of materials and supplies, emission allowances, stored natural gas, and fuel stock are recorded at average cost and consisted of the following as of June 30, 2026 and December 31, 2025 (dollars in millions):</w:t>
      </w:r>
    </w:p>
    <w:tbl>
      <w:tblPr>
        <w:tblW w:w="4550" w:type="dxa"/>
        <w:jc w:val="left"/>
        <w:tblInd w:w="0" w:type="dxa"/>
        <w:tblLayout w:type="fixed"/>
        <w:tblCellMar>
          <w:top w:w="28" w:type="dxa"/>
          <w:left w:w="28" w:type="dxa"/>
          <w:bottom w:w="28" w:type="dxa"/>
          <w:right w:w="28" w:type="dxa"/>
        </w:tblCellMar>
      </w:tblPr>
      <w:tblGrid>
        <w:gridCol w:w="1951"/>
        <w:gridCol w:w="146"/>
        <w:gridCol w:w="230"/>
        <w:gridCol w:w="460"/>
        <w:gridCol w:w="146"/>
        <w:gridCol w:w="146"/>
        <w:gridCol w:w="359"/>
        <w:gridCol w:w="72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Emission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Stored 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current assets consisted of the following as of June 30, 2026 and December 31, 2025 (dollars in millions):</w:t>
      </w:r>
    </w:p>
    <w:tbl>
      <w:tblPr>
        <w:tblW w:w="5405" w:type="dxa"/>
        <w:jc w:val="left"/>
        <w:tblInd w:w="0" w:type="dxa"/>
        <w:tblLayout w:type="fixed"/>
        <w:tblCellMar>
          <w:top w:w="28" w:type="dxa"/>
          <w:left w:w="28" w:type="dxa"/>
          <w:bottom w:w="28" w:type="dxa"/>
          <w:right w:w="28" w:type="dxa"/>
        </w:tblCellMar>
      </w:tblPr>
      <w:tblGrid>
        <w:gridCol w:w="2806"/>
        <w:gridCol w:w="146"/>
        <w:gridCol w:w="276"/>
        <w:gridCol w:w="414"/>
        <w:gridCol w:w="146"/>
        <w:gridCol w:w="146"/>
        <w:gridCol w:w="359"/>
        <w:gridCol w:w="72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 net of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Utility Property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Net utility property, which is recorded at original cost, net of accumulated depreciation, consisted of the following as of June 30, 2026 and December 31, 2025 (dollars in millions):</w:t>
      </w:r>
    </w:p>
    <w:tbl>
      <w:tblPr>
        <w:tblW w:w="6847" w:type="dxa"/>
        <w:jc w:val="left"/>
        <w:tblInd w:w="0" w:type="dxa"/>
        <w:tblLayout w:type="fixed"/>
        <w:tblCellMar>
          <w:top w:w="28" w:type="dxa"/>
          <w:left w:w="28" w:type="dxa"/>
          <w:bottom w:w="28" w:type="dxa"/>
          <w:right w:w="28" w:type="dxa"/>
        </w:tblCellMar>
      </w:tblPr>
      <w:tblGrid>
        <w:gridCol w:w="4156"/>
        <w:gridCol w:w="146"/>
        <w:gridCol w:w="211"/>
        <w:gridCol w:w="571"/>
        <w:gridCol w:w="146"/>
        <w:gridCol w:w="146"/>
        <w:gridCol w:w="290"/>
        <w:gridCol w:w="790"/>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Property and Investments-Net and Other Non-Current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property and investments-net and other non-current assets consisted of the following as of June 30, 2026 and December 31, 2025 (dollars in millions):</w:t>
      </w:r>
    </w:p>
    <w:tbl>
      <w:tblPr>
        <w:tblW w:w="5210" w:type="dxa"/>
        <w:jc w:val="left"/>
        <w:tblInd w:w="0" w:type="dxa"/>
        <w:tblLayout w:type="fixed"/>
        <w:tblCellMar>
          <w:top w:w="28" w:type="dxa"/>
          <w:left w:w="28" w:type="dxa"/>
          <w:bottom w:w="28" w:type="dxa"/>
          <w:right w:w="28" w:type="dxa"/>
        </w:tblCellMar>
      </w:tblPr>
      <w:tblGrid>
        <w:gridCol w:w="2611"/>
        <w:gridCol w:w="146"/>
        <w:gridCol w:w="230"/>
        <w:gridCol w:w="460"/>
        <w:gridCol w:w="146"/>
        <w:gridCol w:w="146"/>
        <w:gridCol w:w="359"/>
        <w:gridCol w:w="72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Non-utility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affiliated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current liabilities consisted of the following as of June 30, 2026 and December 31, 2025 (dollars in millions):</w:t>
      </w:r>
    </w:p>
    <w:tbl>
      <w:tblPr>
        <w:tblW w:w="6155" w:type="dxa"/>
        <w:jc w:val="left"/>
        <w:tblInd w:w="0" w:type="dxa"/>
        <w:tblLayout w:type="fixed"/>
        <w:tblCellMar>
          <w:top w:w="28" w:type="dxa"/>
          <w:left w:w="28" w:type="dxa"/>
          <w:bottom w:w="28" w:type="dxa"/>
          <w:right w:w="28" w:type="dxa"/>
        </w:tblCellMar>
      </w:tblPr>
      <w:tblGrid>
        <w:gridCol w:w="3556"/>
        <w:gridCol w:w="146"/>
        <w:gridCol w:w="230"/>
        <w:gridCol w:w="460"/>
        <w:gridCol w:w="146"/>
        <w:gridCol w:w="146"/>
        <w:gridCol w:w="359"/>
        <w:gridCol w:w="721"/>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paid time off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other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Non-Current Liabilities and Deferred Credits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non-current liabilities and deferred credits consisted of the following as of June 30, 2026 and December 31, 2025 (dollars in millions):</w:t>
      </w:r>
    </w:p>
    <w:tbl>
      <w:tblPr>
        <w:tblW w:w="5780" w:type="dxa"/>
        <w:jc w:val="left"/>
        <w:tblInd w:w="0" w:type="dxa"/>
        <w:tblLayout w:type="fixed"/>
        <w:tblCellMar>
          <w:top w:w="28" w:type="dxa"/>
          <w:left w:w="28" w:type="dxa"/>
          <w:bottom w:w="28" w:type="dxa"/>
          <w:right w:w="28" w:type="dxa"/>
        </w:tblCellMar>
      </w:tblPr>
      <w:tblGrid>
        <w:gridCol w:w="3181"/>
        <w:gridCol w:w="146"/>
        <w:gridCol w:w="230"/>
        <w:gridCol w:w="460"/>
        <w:gridCol w:w="146"/>
        <w:gridCol w:w="146"/>
        <w:gridCol w:w="359"/>
        <w:gridCol w:w="72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Commitment Act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Regulatory assets and liabilities consisted of the following as of June 30, 2026 and December 31, 2025 (dollars in millions):</w:t>
      </w:r>
    </w:p>
    <w:tbl>
      <w:tblPr>
        <w:tblW w:w="8545" w:type="dxa"/>
        <w:jc w:val="left"/>
        <w:tblInd w:w="0" w:type="dxa"/>
        <w:tblLayout w:type="fixed"/>
        <w:tblCellMar>
          <w:top w:w="28" w:type="dxa"/>
          <w:left w:w="28" w:type="dxa"/>
          <w:bottom w:w="28" w:type="dxa"/>
          <w:right w:w="28" w:type="dxa"/>
        </w:tblCellMar>
      </w:tblPr>
      <w:tblGrid>
        <w:gridCol w:w="3886"/>
        <w:gridCol w:w="146"/>
        <w:gridCol w:w="211"/>
        <w:gridCol w:w="421"/>
        <w:gridCol w:w="146"/>
        <w:gridCol w:w="146"/>
        <w:gridCol w:w="330"/>
        <w:gridCol w:w="661"/>
        <w:gridCol w:w="146"/>
        <w:gridCol w:w="146"/>
        <w:gridCol w:w="211"/>
        <w:gridCol w:w="421"/>
        <w:gridCol w:w="146"/>
        <w:gridCol w:w="146"/>
        <w:gridCol w:w="330"/>
        <w:gridCol w:w="66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Climate Commitment 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power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Decoupling surcharge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repurchase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related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other postretirement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AFUDC above FERC allowed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with Coeur d'Alene Tribe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meter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abandoned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 side management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Colstrip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Wildfire resiliency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deferrals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tax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Climate Commitment 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power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natural gas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Decoupling rebate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retirement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rate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note_4_revenue"/>
      <w:bookmarkEnd w:id="17"/>
      <w:r>
        <w:rPr>
          <w:rFonts w:ascii="Times New Roman" w:hAnsi="Times New Roman"/>
          <w:b/>
          <w:color w:val="000000"/>
          <w:sz w:val="20"/>
        </w:rPr>
        <w:t>NOTE 4. REVENUE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Total Operating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total operating revenue by segment and source for the three and six months ended June 30 (dollars in millions):</w:t>
      </w:r>
    </w:p>
    <w:tbl>
      <w:tblPr>
        <w:tblW w:w="10205" w:type="dxa"/>
        <w:jc w:val="left"/>
        <w:tblInd w:w="0" w:type="dxa"/>
        <w:tblLayout w:type="fixed"/>
        <w:tblCellMar>
          <w:top w:w="28" w:type="dxa"/>
          <w:left w:w="28" w:type="dxa"/>
          <w:bottom w:w="28" w:type="dxa"/>
          <w:right w:w="28" w:type="dxa"/>
        </w:tblCellMar>
      </w:tblPr>
      <w:tblGrid>
        <w:gridCol w:w="4827"/>
        <w:gridCol w:w="146"/>
        <w:gridCol w:w="288"/>
        <w:gridCol w:w="575"/>
        <w:gridCol w:w="226"/>
        <w:gridCol w:w="199"/>
        <w:gridCol w:w="288"/>
        <w:gridCol w:w="575"/>
        <w:gridCol w:w="166"/>
        <w:gridCol w:w="146"/>
        <w:gridCol w:w="241"/>
        <w:gridCol w:w="482"/>
        <w:gridCol w:w="189"/>
        <w:gridCol w:w="166"/>
        <w:gridCol w:w="241"/>
        <w:gridCol w:w="654"/>
        <w:gridCol w:w="796"/>
      </w:tblGrid>
      <w:tr>
        <w:trPr/>
        <w:tc>
          <w:tcPr>
            <w:tcW w:w="4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Alternative revenue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Deferrals and amortizations for rate refunds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utility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AEL&amp;P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Revenue from Contracts with Customers by Type and Service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revenue from contracts with customers associated with the Company's electric operations for the three and six months ended June 30 (dollars in millions):</w:t>
      </w:r>
    </w:p>
    <w:tbl>
      <w:tblPr>
        <w:tblW w:w="9174" w:type="dxa"/>
        <w:jc w:val="left"/>
        <w:tblInd w:w="0" w:type="dxa"/>
        <w:tblLayout w:type="fixed"/>
        <w:tblCellMar>
          <w:top w:w="28" w:type="dxa"/>
          <w:left w:w="28" w:type="dxa"/>
          <w:bottom w:w="28" w:type="dxa"/>
          <w:right w:w="28" w:type="dxa"/>
        </w:tblCellMar>
      </w:tblPr>
      <w:tblGrid>
        <w:gridCol w:w="3071"/>
        <w:gridCol w:w="146"/>
        <w:gridCol w:w="200"/>
        <w:gridCol w:w="386"/>
        <w:gridCol w:w="146"/>
        <w:gridCol w:w="146"/>
        <w:gridCol w:w="196"/>
        <w:gridCol w:w="346"/>
        <w:gridCol w:w="146"/>
        <w:gridCol w:w="146"/>
        <w:gridCol w:w="283"/>
        <w:gridCol w:w="542"/>
        <w:gridCol w:w="146"/>
        <w:gridCol w:w="146"/>
        <w:gridCol w:w="200"/>
        <w:gridCol w:w="386"/>
        <w:gridCol w:w="146"/>
        <w:gridCol w:w="146"/>
        <w:gridCol w:w="196"/>
        <w:gridCol w:w="346"/>
        <w:gridCol w:w="146"/>
        <w:gridCol w:w="146"/>
        <w:gridCol w:w="283"/>
        <w:gridCol w:w="542"/>
        <w:gridCol w:w="5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AEL&amp;P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AEL&amp;P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Public street and highway lighting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retail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 from contracts with</w:t>
              <w:br/>
              <w:t>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electric revenue from contracts</w:t>
              <w:br/>
              <w:t>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Public street and highway lighting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retail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 from contracts with</w:t>
              <w:br/>
              <w:t>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electric revenue from contracts</w:t>
              <w:br/>
              <w:t>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disaggregates revenue from contracts with customers associated with the Company's natural gas operations for the three and six months ended June 30 (dollars in millions): </w:t>
      </w:r>
    </w:p>
    <w:tbl>
      <w:tblPr>
        <w:tblW w:w="10205" w:type="dxa"/>
        <w:jc w:val="left"/>
        <w:tblInd w:w="0" w:type="dxa"/>
        <w:tblLayout w:type="fixed"/>
        <w:tblCellMar>
          <w:top w:w="28" w:type="dxa"/>
          <w:left w:w="28" w:type="dxa"/>
          <w:bottom w:w="28" w:type="dxa"/>
          <w:right w:w="28" w:type="dxa"/>
        </w:tblCellMar>
      </w:tblPr>
      <w:tblGrid>
        <w:gridCol w:w="4348"/>
        <w:gridCol w:w="146"/>
        <w:gridCol w:w="400"/>
        <w:gridCol w:w="582"/>
        <w:gridCol w:w="249"/>
        <w:gridCol w:w="249"/>
        <w:gridCol w:w="400"/>
        <w:gridCol w:w="582"/>
        <w:gridCol w:w="146"/>
        <w:gridCol w:w="146"/>
        <w:gridCol w:w="336"/>
        <w:gridCol w:w="645"/>
        <w:gridCol w:w="199"/>
        <w:gridCol w:w="199"/>
        <w:gridCol w:w="336"/>
        <w:gridCol w:w="645"/>
        <w:gridCol w:w="597"/>
      </w:tblGrid>
      <w:tr>
        <w:trPr/>
        <w:tc>
          <w:tcPr>
            <w:tcW w:w="4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NATURAL GAS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Industrial and interruptible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retail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natural gas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Unsatisfied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capacity arrangements under which the Company has a contractual obligation to provide either electric or natural gas capacity to a customer for a fixed fee. Most of these arrangements are paid for in arrears by the customers and do not result in deferred revenue and only result in receivables from the customers. The Company has one capacity agreement under which the customer makes payments throughout the year. As of June 30, 2026, the Company estimates it had unsatisfied capacity performance obligations of $19 million, which will be recognized as revenue in future periods as the capacity is provided to the customers. These performance obligations are not reflected in the financial statements, as the Company has not received payment for these services.</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8" w:name="note_5_equity_method_investments"/>
      <w:bookmarkEnd w:id="18"/>
      <w:r>
        <w:rPr>
          <w:rFonts w:ascii="Times New Roman" w:hAnsi="Times New Roman"/>
          <w:b/>
          <w:color w:val="000000"/>
          <w:sz w:val="20"/>
        </w:rPr>
        <w:t>NOTE 5. EQUITY METHOD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holds a 4.71% interest in Energy Impact Partners I (EIP I), an investment fund, and records activity on a quarter lag using the equity method. In June 2026, ERock, Inc., one of the companies included in the underlying holdings of EIP I, conducted an initial public offering (IPO) and is now publicly traded on the New York Stock Exchange. </w:t>
      </w:r>
    </w:p>
    <w:p>
      <w:pPr>
        <w:pStyle w:val="TextBody"/>
        <w:bidi w:val="0"/>
        <w:jc w:val="left"/>
        <w:rPr>
          <w:rFonts w:ascii="Times New Roman" w:hAnsi="Times New Roman"/>
          <w:color w:val="000000"/>
          <w:sz w:val="20"/>
        </w:rPr>
      </w:pPr>
      <w:r>
        <w:rPr>
          <w:rFonts w:ascii="Times New Roman" w:hAnsi="Times New Roman"/>
          <w:color w:val="000000"/>
          <w:sz w:val="20"/>
        </w:rPr>
        <w:t>In the three months ended June 30, 2026, the Company recorded equity in earnings of $22 million for its holdings of EIP I, primarily associated with a fair market increase of ERock, Inc. in the first quarter of 2026 while it prepared for the IPO. Based on its ownership percentage of ERock, Inc., the Company estimates its portion of the fair value increase from March 31, 2026 to June 30, 2026 to be recognized in the third quarter of 2026 to be $17 million. Subsequent to June 30, 2026, the underlying investment's stock price has decreased. While actual results for the fourth quarter will reflect the fair value on September 30, 2026, the Company estimates a loss of $13 million based on the fair value on July 31, 2026. This activity will be recognized in these future periods along with any other activity reported by EIP I.</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9" w:name="note_5_derivatives_risk_management"/>
      <w:bookmarkEnd w:id="19"/>
      <w:r>
        <w:rPr>
          <w:rFonts w:ascii="Times New Roman" w:hAnsi="Times New Roman"/>
          <w:b/>
          <w:color w:val="000000"/>
          <w:sz w:val="20"/>
        </w:rPr>
        <w:t>NOTE 6. DERIVATIVES AND RISK MANAGEMENT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Corp. is exposed to market risks relating to changes in electricity and natural gas commodity prices and certain other fuel prices. Market risk is, in general, the risk of fluctuation in the market price of the commodity being traded and is influenced primarily by supply and demand. Market risk includes the fluctuation in the market price of associated commodity derivative instruments. Avista Corp. utilizes instruments that meet the definition of a derivative under U.S. GAAP, such as forwards, futures, swaps and options, to manage the various risks relating to these commodity price exposures. Avista Corp. has an energy resources risk policy and control procedures to manage these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Avista Corp.'s resource procurement and management operations in the electric business, Avista Corp. engages in an ongoing process of resource optimization, which involves the economic selection from available energy resources to serve Avista Corp.'s load obligations and the use of these resources to capture available economic value through wholesale market transactions.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include sales and purchases of electric capacity and energy, fuel for electric generation, and derivative contracts related to capacity, energy and fuel. Such transactions are part of the process of matching resources with load obligations and hedging a portion of the related financial risks. These transactions range from terms of intra-hour periods up to multiple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its resource procurement and management of its natural gas business, Avista Corp. makes continuing projections of its natural gas loads and assesses available natural gas resources including natural gas storage availability. Natural gas resource planning typically includes peak requirements, low and average monthly requirements and delivery constraints from natural gas supply locations to Avista Corp.’s distribution system. However, daily variations in natural gas demand can be significantly different than monthly demand projections. Based on these projections, Avista Corp. plans and executes a series of transactions to hedge a portion of its projected natural gas requirements through forward market transactions and derivative instruments. These transactions may extend as much as three natural gas operating years (November through October) into the future. Avista Corp. also leaves a significant portion of its natural gas supply requirements unhedged for purchase in short-term and spot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 plans for sufficient natural gas delivery capacity to serve its retail customers for a theoretical peak-day event. Avista Corp. generally has more pipeline and storage capacity than is needed during periods other than a peak-day. Avista Corp. optimizes its natural gas resources by using market opportunities to generate economic value that mitigates the fixed costs. Avista Corp. also optimizes its natural gas storage capacity by purchasing and storing natural gas when prices are traditionally lower, typically in the summer, and withdrawing during higher priced months, typically during the winter. However, if market conditions and prices indicate that Avista Corp. should buy or sell natural gas at other times during the year, Avista Corp. engages in optimization transactions to capture value in the marketplace. Natural gas optimization activities include, but are not limited to, wholesale market sales of surplus natural gas supplies, purchases and sales of natural gas to optimize use of pipeline and storage capacity, and participation in the transportation capacity release market.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underlying energy commodity derivative volumes as of June 30, 2026 expected to be settled in each respective year (in thousands of MWhs and mmBTUs):</w:t>
      </w:r>
    </w:p>
    <w:tbl>
      <w:tblPr>
        <w:tblW w:w="9898" w:type="dxa"/>
        <w:jc w:val="left"/>
        <w:tblInd w:w="0" w:type="dxa"/>
        <w:tblLayout w:type="fixed"/>
        <w:tblCellMar>
          <w:top w:w="28" w:type="dxa"/>
          <w:left w:w="28" w:type="dxa"/>
          <w:bottom w:w="28" w:type="dxa"/>
          <w:right w:w="28" w:type="dxa"/>
        </w:tblCellMar>
      </w:tblPr>
      <w:tblGrid>
        <w:gridCol w:w="1471"/>
        <w:gridCol w:w="146"/>
        <w:gridCol w:w="200"/>
        <w:gridCol w:w="476"/>
        <w:gridCol w:w="166"/>
        <w:gridCol w:w="166"/>
        <w:gridCol w:w="218"/>
        <w:gridCol w:w="518"/>
        <w:gridCol w:w="146"/>
        <w:gridCol w:w="146"/>
        <w:gridCol w:w="146"/>
        <w:gridCol w:w="676"/>
        <w:gridCol w:w="146"/>
        <w:gridCol w:w="146"/>
        <w:gridCol w:w="146"/>
        <w:gridCol w:w="676"/>
        <w:gridCol w:w="146"/>
        <w:gridCol w:w="146"/>
        <w:gridCol w:w="174"/>
        <w:gridCol w:w="502"/>
        <w:gridCol w:w="149"/>
        <w:gridCol w:w="149"/>
        <w:gridCol w:w="189"/>
        <w:gridCol w:w="547"/>
        <w:gridCol w:w="146"/>
        <w:gridCol w:w="146"/>
        <w:gridCol w:w="155"/>
        <w:gridCol w:w="611"/>
        <w:gridCol w:w="146"/>
        <w:gridCol w:w="146"/>
        <w:gridCol w:w="197"/>
        <w:gridCol w:w="569"/>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are no energy commodity derivative contracts outstanding with expected settlements after 2029.</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underlying energy commodity derivative volumes as of December 31, 2025 expected to be settled in each respective year (in thousands of MWhs and mmBTUs):</w:t>
      </w:r>
    </w:p>
    <w:tbl>
      <w:tblPr>
        <w:tblW w:w="8968" w:type="dxa"/>
        <w:jc w:val="left"/>
        <w:tblInd w:w="0" w:type="dxa"/>
        <w:tblLayout w:type="fixed"/>
        <w:tblCellMar>
          <w:top w:w="28" w:type="dxa"/>
          <w:left w:w="28" w:type="dxa"/>
          <w:bottom w:w="28" w:type="dxa"/>
          <w:right w:w="28" w:type="dxa"/>
        </w:tblCellMar>
      </w:tblPr>
      <w:tblGrid>
        <w:gridCol w:w="541"/>
        <w:gridCol w:w="146"/>
        <w:gridCol w:w="200"/>
        <w:gridCol w:w="476"/>
        <w:gridCol w:w="166"/>
        <w:gridCol w:w="166"/>
        <w:gridCol w:w="218"/>
        <w:gridCol w:w="518"/>
        <w:gridCol w:w="146"/>
        <w:gridCol w:w="146"/>
        <w:gridCol w:w="146"/>
        <w:gridCol w:w="676"/>
        <w:gridCol w:w="146"/>
        <w:gridCol w:w="146"/>
        <w:gridCol w:w="146"/>
        <w:gridCol w:w="676"/>
        <w:gridCol w:w="146"/>
        <w:gridCol w:w="146"/>
        <w:gridCol w:w="174"/>
        <w:gridCol w:w="502"/>
        <w:gridCol w:w="149"/>
        <w:gridCol w:w="149"/>
        <w:gridCol w:w="189"/>
        <w:gridCol w:w="547"/>
        <w:gridCol w:w="146"/>
        <w:gridCol w:w="146"/>
        <w:gridCol w:w="155"/>
        <w:gridCol w:w="611"/>
        <w:gridCol w:w="146"/>
        <w:gridCol w:w="146"/>
        <w:gridCol w:w="197"/>
        <w:gridCol w:w="569"/>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no energy commodity derivative contracts outstanding with expected settlements after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Physical transactions represent commodity derivative transactions in which Avista Corp. will take or make delivery of either electricity or natural gas; financial transactions represent financial derivative instruments that are settled in cash with no physical delivery of the underlying commodity, such as futures, swaps, or options contracts.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electric and natural gas derivative contracts above will be included in either power supply costs or natural gas supply costs during the period they are scheduled to be delivered and will be included in the various deferral and recovery mechanisms (ERM, PCA and PGAs), or in the general rate case process, and are expected to be recovered through retail rates from customers.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Exchange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Avista Corp.’s natural gas supply (including fuel for power generation) is obtained from Canadian sources. Most of those transactions are executed in U.S. dollars, which avoids foreign currency risk. A portion of Avista Corp.’s short-term natural gas transactions and long-term Canadian transportation contracts are committed based on Canadian currency prices. The short-term natural gas transactions are settled within 60 days with U.S. dollars. Avista Corp. hedges a portion of the foreign currency risk by purchasing Canadian currency exchange derivatives when such commodity transactions are initiated. The foreign currency exchange derivatives and the unhedged foreign currency risk have not had a material effect on Avista Corp.’s financial condition, results of operations or cash flows and these differences in cost related to currency fluctuations are included with natural gas supply costs for ratemaking.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foreign currency exchange derivatives outstanding as of June 30, 2026 and December 31, 2025 (dollars in millions):</w:t>
      </w:r>
    </w:p>
    <w:tbl>
      <w:tblPr>
        <w:tblW w:w="5955" w:type="dxa"/>
        <w:jc w:val="left"/>
        <w:tblInd w:w="0" w:type="dxa"/>
        <w:tblLayout w:type="fixed"/>
        <w:tblCellMar>
          <w:top w:w="28" w:type="dxa"/>
          <w:left w:w="28" w:type="dxa"/>
          <w:bottom w:w="28" w:type="dxa"/>
          <w:right w:w="28" w:type="dxa"/>
        </w:tblCellMar>
      </w:tblPr>
      <w:tblGrid>
        <w:gridCol w:w="3556"/>
        <w:gridCol w:w="146"/>
        <w:gridCol w:w="276"/>
        <w:gridCol w:w="414"/>
        <w:gridCol w:w="146"/>
        <w:gridCol w:w="146"/>
        <w:gridCol w:w="431"/>
        <w:gridCol w:w="649"/>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 (in United States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 (in Canadian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Summary of Outstanding Derivative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recorded on the Condensed Consolidated Balance Sheet as of June 30, 2026 and December 31, 2025 reflect the offsetting of derivative assets and liabilities where a legal right of offset exists.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fair values and locations of energy commodity derivative instruments recorded on the Condensed Consolidated Balance Sheet as of June 30, 2026 (dollars in millions):</w:t>
      </w:r>
    </w:p>
    <w:tbl>
      <w:tblPr>
        <w:tblW w:w="9368" w:type="dxa"/>
        <w:jc w:val="left"/>
        <w:tblInd w:w="0" w:type="dxa"/>
        <w:tblLayout w:type="fixed"/>
        <w:tblCellMar>
          <w:top w:w="28" w:type="dxa"/>
          <w:left w:w="28" w:type="dxa"/>
          <w:bottom w:w="28" w:type="dxa"/>
          <w:right w:w="28" w:type="dxa"/>
        </w:tblCellMar>
      </w:tblPr>
      <w:tblGrid>
        <w:gridCol w:w="5061"/>
        <w:gridCol w:w="146"/>
        <w:gridCol w:w="211"/>
        <w:gridCol w:w="316"/>
        <w:gridCol w:w="146"/>
        <w:gridCol w:w="146"/>
        <w:gridCol w:w="248"/>
        <w:gridCol w:w="443"/>
        <w:gridCol w:w="166"/>
        <w:gridCol w:w="146"/>
        <w:gridCol w:w="290"/>
        <w:gridCol w:w="476"/>
        <w:gridCol w:w="146"/>
        <w:gridCol w:w="146"/>
        <w:gridCol w:w="312"/>
        <w:gridCol w:w="558"/>
        <w:gridCol w:w="41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Derivative and 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Collateral</w:t>
              <w:br/>
              <w:t>Netted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Asset</w:t>
              <w:br/>
              <w:t>(Liability)</w:t>
              <w:br/>
              <w:t>on Balance</w:t>
              <w:br/>
              <w:t>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 instruments recorded on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fair values and locations of derivative instruments recorded on the Condensed Consolidated Balance Sheet as of December 31, 2025 (dollars in millions):</w:t>
      </w:r>
    </w:p>
    <w:tbl>
      <w:tblPr>
        <w:tblW w:w="9413" w:type="dxa"/>
        <w:jc w:val="left"/>
        <w:tblInd w:w="0" w:type="dxa"/>
        <w:tblLayout w:type="fixed"/>
        <w:tblCellMar>
          <w:top w:w="28" w:type="dxa"/>
          <w:left w:w="28" w:type="dxa"/>
          <w:bottom w:w="28" w:type="dxa"/>
          <w:right w:w="28" w:type="dxa"/>
        </w:tblCellMar>
      </w:tblPr>
      <w:tblGrid>
        <w:gridCol w:w="5061"/>
        <w:gridCol w:w="146"/>
        <w:gridCol w:w="211"/>
        <w:gridCol w:w="316"/>
        <w:gridCol w:w="146"/>
        <w:gridCol w:w="146"/>
        <w:gridCol w:w="248"/>
        <w:gridCol w:w="443"/>
        <w:gridCol w:w="166"/>
        <w:gridCol w:w="146"/>
        <w:gridCol w:w="290"/>
        <w:gridCol w:w="476"/>
        <w:gridCol w:w="146"/>
        <w:gridCol w:w="146"/>
        <w:gridCol w:w="328"/>
        <w:gridCol w:w="587"/>
        <w:gridCol w:w="41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Derivative and 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Collateral</w:t>
              <w:br/>
              <w:t>Netted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Asset</w:t>
              <w:br/>
              <w:t xml:space="preserve">(Liability) </w:t>
              <w:br/>
              <w:t xml:space="preserve">on Balance </w:t>
              <w:br/>
              <w:t>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 instruments recorded on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Exposure to Demands for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Corp.'s derivative contracts often require collateral (in the form of cash or letters of credit) or other credit enhancements, or reductions or terminations of a portion of the contract through cash settlement. The following table presents collateral outstanding related to its energy commodity derivative instruments as of June 30, 2026 and December 31, 2025 (dollars in millions):</w:t>
      </w:r>
    </w:p>
    <w:tbl>
      <w:tblPr>
        <w:tblW w:w="4815" w:type="dxa"/>
        <w:jc w:val="left"/>
        <w:tblInd w:w="0" w:type="dxa"/>
        <w:tblLayout w:type="fixed"/>
        <w:tblCellMar>
          <w:top w:w="28" w:type="dxa"/>
          <w:left w:w="28" w:type="dxa"/>
          <w:bottom w:w="28" w:type="dxa"/>
          <w:right w:w="28" w:type="dxa"/>
        </w:tblCellMar>
      </w:tblPr>
      <w:tblGrid>
        <w:gridCol w:w="2416"/>
        <w:gridCol w:w="146"/>
        <w:gridCol w:w="276"/>
        <w:gridCol w:w="414"/>
        <w:gridCol w:w="146"/>
        <w:gridCol w:w="146"/>
        <w:gridCol w:w="431"/>
        <w:gridCol w:w="649"/>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collateral posted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Letters of credit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changes in market prices or a downgrade in Avista Corp.'s credit ratings (including maintaining "investment grade" credit rating) or other established credit criteria, or, in some cases, if the counterparty has reasonable grounds to believe that there has been a material change in Avista Corp.'s creditworthiness, additional collateral may be required. Counterparties could request immediate payment or demand immediate and ongoing collateralization on derivative instruments in net liability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periods of price volatility, the level of exposure can change significantly. In addition, these contracts contain customary events of default (including cross-defaults to indebtedness and other obligations) and termination provisions. As a result, sudden and significant demands may be made against Avista Corp.'s credit facilities and cash. See Note 9 for further discussion of these credit facilities, including the immediate reimbursement obligation associated with outstanding letters of credit.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aggregate fair value of energy commodity derivative instruments with credit-risk-related contingent features in a liability position, and the amount of additional collateral (in cash or letters of credit) Avista Corp. could be required to post as of June 30, 2026 (dollars in millions):</w:t>
      </w:r>
    </w:p>
    <w:tbl>
      <w:tblPr>
        <w:tblW w:w="5483" w:type="dxa"/>
        <w:jc w:val="left"/>
        <w:tblInd w:w="0" w:type="dxa"/>
        <w:tblLayout w:type="fixed"/>
        <w:tblCellMar>
          <w:top w:w="28" w:type="dxa"/>
          <w:left w:w="28" w:type="dxa"/>
          <w:bottom w:w="28" w:type="dxa"/>
          <w:right w:w="28" w:type="dxa"/>
        </w:tblCellMar>
      </w:tblPr>
      <w:tblGrid>
        <w:gridCol w:w="4456"/>
        <w:gridCol w:w="146"/>
        <w:gridCol w:w="276"/>
        <w:gridCol w:w="414"/>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with credit-risk-related contingent features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to post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0" w:name="note_6_pension_plans_or_postretirement_b"/>
      <w:bookmarkEnd w:id="20"/>
      <w:r>
        <w:rPr>
          <w:rFonts w:ascii="Times New Roman" w:hAnsi="Times New Roman"/>
          <w:b/>
          <w:color w:val="000000"/>
          <w:sz w:val="20"/>
        </w:rPr>
        <w:t>NOTE 7. PENSION PLANS AND OTHER POSTRETIREMENT BENEFIT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Avista Utilities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contributed $7 million in cash to the pension plan during the six months ended June 30, 2026. The Company expects to contribute $10 million in total in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uses a December 31 measurement date for its defined benefit pension and other postretirement benefit plans. The following table sets forth the components of net periodic benefit costs for the three and six months ended June 30 (dollars in millions):</w:t>
      </w:r>
    </w:p>
    <w:tbl>
      <w:tblPr>
        <w:tblW w:w="6981" w:type="dxa"/>
        <w:jc w:val="left"/>
        <w:tblInd w:w="0" w:type="dxa"/>
        <w:tblLayout w:type="fixed"/>
        <w:tblCellMar>
          <w:top w:w="28" w:type="dxa"/>
          <w:left w:w="28" w:type="dxa"/>
          <w:bottom w:w="28" w:type="dxa"/>
          <w:right w:w="28" w:type="dxa"/>
        </w:tblCellMar>
      </w:tblPr>
      <w:tblGrid>
        <w:gridCol w:w="2596"/>
        <w:gridCol w:w="146"/>
        <w:gridCol w:w="211"/>
        <w:gridCol w:w="376"/>
        <w:gridCol w:w="166"/>
        <w:gridCol w:w="146"/>
        <w:gridCol w:w="211"/>
        <w:gridCol w:w="376"/>
        <w:gridCol w:w="166"/>
        <w:gridCol w:w="146"/>
        <w:gridCol w:w="315"/>
        <w:gridCol w:w="517"/>
        <w:gridCol w:w="248"/>
        <w:gridCol w:w="218"/>
        <w:gridCol w:w="315"/>
        <w:gridCol w:w="517"/>
        <w:gridCol w:w="3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Pension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 Postretirement Benefits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service costs in the table above are recorded to the same accounts as labor expense. Labor and benefits expense is recorded to various projects based on whether the work is a capital project or an operating expense. Approximately 45 percent of all labor and benefits is capitalized to utility property and 55 percent is expensed to utility 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non-service portion of costs in the table above are recorded to other expense below income from operations in the Condensed Consolidated Statements of Income and Comprehensive Income or capitalized as a regulatory asset. Approximately 45 percent of the costs are capitalized to regulatory assets and 55 percent is expensed to the income statement.</w:t>
      </w:r>
    </w:p>
    <w:p>
      <w:pPr>
        <w:pStyle w:val="TextBody"/>
        <w:bidi w:val="0"/>
        <w:spacing w:before="240" w:after="283"/>
        <w:jc w:val="left"/>
        <w:rPr>
          <w:rFonts w:ascii="Times New Roman" w:hAnsi="Times New Roman"/>
          <w:b/>
          <w:color w:val="000000"/>
          <w:sz w:val="20"/>
        </w:rPr>
      </w:pPr>
      <w:bookmarkStart w:id="21" w:name="note_7_income_taxes"/>
      <w:bookmarkEnd w:id="21"/>
      <w:r>
        <w:rPr>
          <w:rFonts w:ascii="Times New Roman" w:hAnsi="Times New Roman"/>
          <w:b/>
          <w:color w:val="000000"/>
          <w:sz w:val="20"/>
        </w:rPr>
        <w:t>NOTE 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interim reporting requirements, the Company uses an estimated annual effective tax rate for computing its provisions for income taxes. An estimate of annual income tax expense (or benefit) is made each interim period using estimates for annual pre-tax income, income tax adjustments and tax credits. The estimated annual effective tax rates do not include discrete events such as tax law changes, examination settlements, accounting method changes or adjustments to tax expense or benefits attributable to prior years. Discrete events are recorded in the interim period in which they occur or become known. The estimated annual tax rate is applied to year-to-date pre-tax income to determine income tax expense (or benefit) for the interim period consistent with the annual estimate. In subsequent interim periods, income tax expense (or benefit) for the period is computed as the difference between the year-to-date amount reported for the previous interim period and the current period’s year-to-date amount.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the difference between the Company's effective tax rate and the federal statutory rate on income from continuing operations, including equity method earnings (losses), for the three and six months ended June 30 (dollars in millions):</w:t>
      </w:r>
    </w:p>
    <w:tbl>
      <w:tblPr>
        <w:tblW w:w="10205" w:type="dxa"/>
        <w:jc w:val="left"/>
        <w:tblInd w:w="0" w:type="dxa"/>
        <w:tblLayout w:type="fixed"/>
        <w:tblCellMar>
          <w:top w:w="28" w:type="dxa"/>
          <w:left w:w="28" w:type="dxa"/>
          <w:bottom w:w="28" w:type="dxa"/>
          <w:right w:w="28" w:type="dxa"/>
        </w:tblCellMar>
      </w:tblPr>
      <w:tblGrid>
        <w:gridCol w:w="2063"/>
        <w:gridCol w:w="146"/>
        <w:gridCol w:w="211"/>
        <w:gridCol w:w="346"/>
        <w:gridCol w:w="166"/>
        <w:gridCol w:w="146"/>
        <w:gridCol w:w="146"/>
        <w:gridCol w:w="466"/>
        <w:gridCol w:w="271"/>
        <w:gridCol w:w="146"/>
        <w:gridCol w:w="211"/>
        <w:gridCol w:w="346"/>
        <w:gridCol w:w="166"/>
        <w:gridCol w:w="146"/>
        <w:gridCol w:w="146"/>
        <w:gridCol w:w="526"/>
        <w:gridCol w:w="271"/>
        <w:gridCol w:w="146"/>
        <w:gridCol w:w="211"/>
        <w:gridCol w:w="421"/>
        <w:gridCol w:w="166"/>
        <w:gridCol w:w="146"/>
        <w:gridCol w:w="146"/>
        <w:gridCol w:w="466"/>
        <w:gridCol w:w="271"/>
        <w:gridCol w:w="146"/>
        <w:gridCol w:w="211"/>
        <w:gridCol w:w="421"/>
        <w:gridCol w:w="166"/>
        <w:gridCol w:w="146"/>
        <w:gridCol w:w="146"/>
        <w:gridCol w:w="466"/>
        <w:gridCol w:w="611"/>
      </w:tblGrid>
      <w:tr>
        <w:trPr/>
        <w:tc>
          <w:tcPr>
            <w:tcW w:w="2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Flow through related to deduction of meters and mixed service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Excess deferred tax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general rate cases included approval of base rate increases, offset by tax customer credits. As the tax customer credits are returned to customers, this results in a decrease to income tax expense as a result of flowing through the benefits related to meters and mixed service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2026, the Company purchased $10 million of 2025 transferable tax credits from another taxable entity for $9 million. These tax credits are expected to be utilized in the Company's 2025 federal tax return, to be filed in the fall of 2026. There were no other federal taxes paid in the first half of 2026. </w:t>
      </w:r>
    </w:p>
    <w:p>
      <w:pPr>
        <w:pStyle w:val="TextBody"/>
        <w:bidi w:val="0"/>
        <w:spacing w:before="240" w:after="283"/>
        <w:jc w:val="left"/>
        <w:rPr>
          <w:rFonts w:ascii="Times New Roman" w:hAnsi="Times New Roman"/>
          <w:b/>
          <w:color w:val="000000"/>
          <w:sz w:val="20"/>
        </w:rPr>
      </w:pPr>
      <w:bookmarkStart w:id="22" w:name="note_8_committed_lines_credit"/>
      <w:bookmarkEnd w:id="22"/>
      <w:r>
        <w:rPr>
          <w:rFonts w:ascii="Times New Roman" w:hAnsi="Times New Roman"/>
          <w:b/>
          <w:color w:val="000000"/>
          <w:sz w:val="20"/>
        </w:rPr>
        <w:t>NOTE 9. SHORT-TERM BORROWINGS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Avista Corp.</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Lines of Credit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Avista Corp. has a committed line of credit in the total amount of $500 million, with an expiration date of June 2029. The Company may request that the lenders extend their commitments for an additional one-year period (subject to customary conditions).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committed line of credit is secured by non-transferable first mortgage bonds of Avista Corp. issued to the agent bank that are payable only to the extent that Avista Corp. defaults on its obligations under the committed line of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Balances outstanding and interest rates on borrowings (excluding letters of credit) under Avista Corp.’s revolving committed line of credit were as follows as of June 30, 2026 and December 31, 2025 (dollars in millions):</w:t>
      </w:r>
    </w:p>
    <w:tbl>
      <w:tblPr>
        <w:tblW w:w="6970" w:type="dxa"/>
        <w:jc w:val="left"/>
        <w:tblInd w:w="0" w:type="dxa"/>
        <w:tblLayout w:type="fixed"/>
        <w:tblCellMar>
          <w:top w:w="28" w:type="dxa"/>
          <w:left w:w="28" w:type="dxa"/>
          <w:bottom w:w="28" w:type="dxa"/>
          <w:right w:w="28" w:type="dxa"/>
        </w:tblCellMar>
      </w:tblPr>
      <w:tblGrid>
        <w:gridCol w:w="4321"/>
        <w:gridCol w:w="146"/>
        <w:gridCol w:w="215"/>
        <w:gridCol w:w="475"/>
        <w:gridCol w:w="271"/>
        <w:gridCol w:w="146"/>
        <w:gridCol w:w="335"/>
        <w:gridCol w:w="745"/>
        <w:gridCol w:w="3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outstanding at end of period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Letters of credit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 on borrowings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As of June 30, 2026, there was $296 million outstanding under the committed line of credit; however, $226 million was classified as short-term borrowings and $70 million was classified as long-term on the Condensed Consolidated Balance Sheet due to the Company's intention to refinance such amount on a long-term basis. The amount classified as long-term debt will be refinanced through the issuance and sale of first mortgage bonds in August 2026, pursuant to a bond purchase agreement entered into in May 2026. See Note 10 for further discussion of the first mortgage bonds and the refinancing of short-term debt on a long-term basis. The entire outstanding amount of the committed line of credit as of December 31, 2025 was classified as short-term borrowings on the Condensed Consolidated Balance Sheet.</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Letter of Credit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Avista Corp. has a letter of credit agreement in the aggregate amount of $65 million, which was increased from $50 million in June 2026. Either party may terminate the agreement at any time.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Avista Corp. had $6 million and $14 million in letters of credit outstanding under this agreement as of June 30, 2026 and December 31, 2025, respectively. Letters of credit are not reflected on the Condensed Consolidated Balance Sheets. If a letter of credit were drawn upon by the holder, Avista Corp. would have an immediate obligation to reimburse the bank that issued the letter of credit.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Covenants and Default Provisions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short-term borrowing agreements contain customary covenants and default provisions, including a change in control (as defined in the agreements). The events of default under each of the credit facilities also include a cross default from other indebtedness (as defined) and, in the case of the letter of credit agreement, other obligations. The committed line of credit agreement also includes a covenant which does not permit the ratio of “consolidated total debt” to “consolidated total capitalization” of Avista Corp. to be greater than 65 percent at any time. As of June 30, 2026, the Company complied with this covenant.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AEL&amp;P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AEL&amp;P has a committed line of credit in the amount of $25 million that expires in June 2028. The committed line of credit is secured by non-transferable first mortgage bonds of AEL&amp;P issued to the agent bank that would only become due and payable in the event, and then only to the extent, that AEL&amp;P defaults on its obligations under the committed line of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AEL&amp;P’s revolving committed line of credit had a balance of $3 million outstanding as of December 31, 2025, with an average interest rate of 5.33 percent. There were no borrowings outstanding under the agreement as of June 30, 2026. </w:t>
      </w:r>
    </w:p>
    <w:p>
      <w:pPr>
        <w:pStyle w:val="TextBody"/>
        <w:bidi w:val="0"/>
        <w:jc w:val="left"/>
        <w:rPr>
          <w:rFonts w:ascii="Times New Roman" w:hAnsi="Times New Roman"/>
          <w:color w:val="000000"/>
          <w:sz w:val="20"/>
        </w:rPr>
      </w:pPr>
      <w:r>
        <w:rPr>
          <w:rFonts w:ascii="Times New Roman" w:hAnsi="Times New Roman"/>
          <w:color w:val="000000"/>
          <w:sz w:val="20"/>
        </w:rPr>
        <w:t>The committed line of credit agreement contains customary covenants and default provisions, including a cross default from other indebtedness (as defined). The credit agreement has a covenant which does not permit the ratio of "consolidated total debt at AEL&amp;P" to "consolidated total capitalization at AEL&amp;P," including the impact of the Snettisham bonds to be greater than 67.5 percent at any time. As of June 30, 2026, AEL&amp;P complied with this covenant.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3" w:name="note_9_long_term_debt"/>
      <w:bookmarkEnd w:id="23"/>
      <w:r>
        <w:rPr>
          <w:rFonts w:ascii="Times New Roman" w:hAnsi="Times New Roman"/>
          <w:b/>
          <w:color w:val="000000"/>
          <w:sz w:val="20"/>
        </w:rPr>
        <w:t>NOTE 10. LONG-TERM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Avista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14, 2026, the Company issued and sold $90.0 million of 4.77 percent first mortgage bonds due in 2029 and $70.0 million of 6.10 percent first mortgage bonds due in 2056 pursuant to a bond purchase agreement with institutional investors in the private placement market. The Company expects to issue and sell an additional $70.0 million of 6.10 percent first mortgage bonds under this bond purchase agreement in August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sale of the new bonds were and will be used to refinance existing indebtedness and pay for utility capital expenditures.</w:t>
      </w:r>
    </w:p>
    <w:p>
      <w:pPr>
        <w:pStyle w:val="TextBody"/>
        <w:bidi w:val="0"/>
        <w:spacing w:before="240" w:after="283"/>
        <w:jc w:val="left"/>
        <w:rPr>
          <w:rFonts w:ascii="Times New Roman" w:hAnsi="Times New Roman"/>
          <w:b/>
          <w:color w:val="000000"/>
          <w:sz w:val="20"/>
        </w:rPr>
      </w:pPr>
      <w:bookmarkStart w:id="24" w:name="note_10_longterm_debt_to_affiliated_trus"/>
      <w:bookmarkEnd w:id="24"/>
      <w:r>
        <w:rPr>
          <w:rFonts w:ascii="Times New Roman" w:hAnsi="Times New Roman"/>
          <w:b/>
          <w:color w:val="000000"/>
          <w:sz w:val="20"/>
        </w:rPr>
        <w:t>NOTE 11. LONG-TERM DEBT TO AFFILIATED TRUSTS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1997, the Company issued Floating Rate Junior Subordinated Deferrable Interest Debentures, Series B, with a principal amount of $52 million to Avista Capital II, an affiliated business trust formed by the Company. Avista Capital II issued $50 million of Preferred Trust Securities. The distribution rate on the Preferred Trust Securities is three-month CME Term SOFR plus 1.137 percent.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distribution rates were as follows during the six months ended June 30, 2026 and the year ended December 31, 2025:</w:t>
      </w:r>
    </w:p>
    <w:tbl>
      <w:tblPr>
        <w:tblW w:w="6025" w:type="dxa"/>
        <w:jc w:val="left"/>
        <w:tblInd w:w="0" w:type="dxa"/>
        <w:tblLayout w:type="fixed"/>
        <w:tblCellMar>
          <w:top w:w="28" w:type="dxa"/>
          <w:left w:w="28" w:type="dxa"/>
          <w:bottom w:w="28" w:type="dxa"/>
          <w:right w:w="28" w:type="dxa"/>
        </w:tblCellMar>
      </w:tblPr>
      <w:tblGrid>
        <w:gridCol w:w="3376"/>
        <w:gridCol w:w="146"/>
        <w:gridCol w:w="164"/>
        <w:gridCol w:w="526"/>
        <w:gridCol w:w="271"/>
        <w:gridCol w:w="146"/>
        <w:gridCol w:w="257"/>
        <w:gridCol w:w="823"/>
        <w:gridCol w:w="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distribution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distribution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rate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the issuance of the Preferred Trust Securities, Avista Capital II issued $2 million of Common Trust Securities to the Company. The Preferred Trust Securities may be redeemed at the option of Avista Capital II at any time and mature on June 1, 2037. In 2000, the Company purchased $10 million of these Preferred Trust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owns 100 percent of Avista Capital II and has solely and unconditionally guaranteed the payment of distributions on, and redemption price and liquidation amount for, the Preferred Trust Securities to the extent Avista Capital II has funds available for such payments from the respective debt securities. Upon maturity or prior redemption of such debt securities, the Preferred Trust Securities will be mandatorily redeemed. The Company does not include these capital trusts in its condensed consolidated financial statements as Avista Corp. is not the primary beneficiary. As such, the sole assets of the capital trusts are $52 million of junior subordinated deferrable interest debentures of Avista Corp., which are reflected on the Condensed Consolidated Balance Sheets. Interest expense to affiliated trusts in the Condensed Consolidated Statements of Income and Comprehensive Income represents interest expense on these debentures.</w:t>
      </w:r>
    </w:p>
    <w:p>
      <w:pPr>
        <w:pStyle w:val="TextBody"/>
        <w:bidi w:val="0"/>
        <w:spacing w:before="240" w:after="283"/>
        <w:jc w:val="left"/>
        <w:rPr>
          <w:rFonts w:ascii="Times New Roman" w:hAnsi="Times New Roman"/>
          <w:b/>
          <w:color w:val="000000"/>
          <w:sz w:val="20"/>
        </w:rPr>
      </w:pPr>
      <w:bookmarkStart w:id="25" w:name="note_11_fair_value"/>
      <w:bookmarkEnd w:id="25"/>
      <w:r>
        <w:rPr>
          <w:rFonts w:ascii="Times New Roman" w:hAnsi="Times New Roman"/>
          <w:b/>
          <w:color w:val="000000"/>
          <w:sz w:val="20"/>
        </w:rPr>
        <w:t>NOTE 12.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values of cash and cash equivalents, accounts and notes receivable, accounts payable, and short-term borrowings as shown on the Condensed Consolidated Balance Sheets are reasonable estimates of their fair values. The carrying values of long-term debt (including current portion and material finance leases) and long-term debt to affiliated trusts as shown on the Condensed Consolidated Balance Sheets may be different from the estimated fair value. See below for the estimated fair value of long-term debt and long-term debt to affiliated trusts.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hierarchy prioritizes the inputs used to measure fair value. The hierarchy gives the highest priority to unadjusted quoted prices in active markets for identical assets or liabilities (Level 1 measurements) and the lowest priority to fair values derived from unobservable inputs (Level 3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defined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are available in active markets for identical assets or liabilities. Active markets are those in which transactions for the asset or liability occur with sufficient frequency and volume to provide pricing information on an ongoing basis.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Pricing inputs are other than quoted prices in active markets included in Level 1, but which are either directly or indirectly observable as of the reporting date. Level 2 includes financial instruments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Pricing inputs include significant inputs generally unobservable from objective sources. These inputs may be used with internally developed methodologies that result in management’s best estimate of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 determination of the fair values incorporates various factors including the credit standing of the counterparties involved and the impact of credit enhancements (such as cash deposits and letters of credit), and the impact of Avista Corp.’s nonperformance risk on its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carrying value and estimated fair value of the Company’s financial instruments not reported at estimated fair value on the Condensed Consolidated Balance Sheets as of June 30, 2026 and December 31, 2025 (dollars in millions):</w:t>
      </w:r>
    </w:p>
    <w:tbl>
      <w:tblPr>
        <w:tblW w:w="8223"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22"/>
        <w:gridCol w:w="603"/>
        <w:gridCol w:w="146"/>
        <w:gridCol w:w="146"/>
        <w:gridCol w:w="211"/>
        <w:gridCol w:w="571"/>
        <w:gridCol w:w="146"/>
        <w:gridCol w:w="146"/>
        <w:gridCol w:w="222"/>
        <w:gridCol w:w="603"/>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Snettisham finance lease obligation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estimates of fair value of long-term debt and long-term debt to affiliated trusts were primarily based on available market information, which generally consists of estimated market prices from third party brokers for debt with similar risk and terms. The price ranges obtained from the third party brokers consisted of market prices of 59.87 percent to 105.44 percent of the principal amount, where 100.0 percent of the principal amount (adjusted for unamortized discount or premium) represents the carrying value recorded on the Condensed Consolidated Balance Sheets. Level 2 long-term debt represents publicly issued bonds with quoted market prices; however, due to their limited trading activity, they are classified as Level 2 because brokers must generate quotes and make estimates if there is no trading activity near a period end. Level 3 long-term debt consists of private placement bonds and debt to affiliated trusts, which typically have no secondary trading activity. Fair values in Level 3 are estimated based on market prices from third party brokers using secondary market quotes for debt with similar risk and terms to generate quotes for Avista Corp. bonds. Due to the unique nature of the Snettisham finance lease obligation, the estimated fair value of these items was determined based on a discounted cash flow model using available market information. The Snettisham finance lease obligation fair value is determined using the Morgan Markets A Ex-Fin discount rate as published on June 30, 2026 and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discloses by level within the fair value hierarchy the Company’s assets and liabilities measured and reported on the Condensed Consolidated Balance Sheets as of June 30, 2026 and December 31, 2025 at fair value on a recurring basis (dollars in millions):</w:t>
      </w:r>
    </w:p>
    <w:tbl>
      <w:tblPr>
        <w:tblW w:w="8259" w:type="dxa"/>
        <w:jc w:val="left"/>
        <w:tblInd w:w="0" w:type="dxa"/>
        <w:tblLayout w:type="fixed"/>
        <w:tblCellMar>
          <w:top w:w="28" w:type="dxa"/>
          <w:left w:w="28" w:type="dxa"/>
          <w:bottom w:w="28" w:type="dxa"/>
          <w:right w:w="28" w:type="dxa"/>
        </w:tblCellMar>
      </w:tblPr>
      <w:tblGrid>
        <w:gridCol w:w="2896"/>
        <w:gridCol w:w="146"/>
        <w:gridCol w:w="239"/>
        <w:gridCol w:w="391"/>
        <w:gridCol w:w="146"/>
        <w:gridCol w:w="146"/>
        <w:gridCol w:w="239"/>
        <w:gridCol w:w="391"/>
        <w:gridCol w:w="146"/>
        <w:gridCol w:w="146"/>
        <w:gridCol w:w="239"/>
        <w:gridCol w:w="391"/>
        <w:gridCol w:w="146"/>
        <w:gridCol w:w="146"/>
        <w:gridCol w:w="367"/>
        <w:gridCol w:w="654"/>
        <w:gridCol w:w="166"/>
        <w:gridCol w:w="146"/>
        <w:gridCol w:w="211"/>
        <w:gridCol w:w="316"/>
        <w:gridCol w:w="5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Counterparty</w:t>
              <w:br/>
              <w:t xml:space="preserve">and Cash </w:t>
              <w:br/>
              <w:t xml:space="preserve">Collateral </w:t>
              <w:br/>
              <w:t>Netting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Fixed income securities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securities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Fixed income securities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securities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permitted to net derivative assets and derivative liabilities with the same counterparty when a legally enforceable master netting agreement exists. In addition, the Company nets derivative assets and derivative liabilities against any payables and receivables for cash collateral held or placed with these same counterparties.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Level 3 energy commodity derivative balances are associated with a natural gas exchange agreement.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Included in other property and investments-net and other non-current assets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amount of derivative assets and liabilities disclosed in respective levels in the table above and the amount of derivative assets and liabilities disclosed on the Condensed Consolidated Balance Sheets is due to netting arrangements with certain counterparties. See Note 6 for additional discussion of derivative netting.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establish fair value for energy commodity derivatives, the Company uses quoted market prices and forward price curves to estimate the fair value of energy commodity derivative instruments included in Level 2. Electric derivative valuations are performed using market quotes, adjusted for periods in between quotable periods. Natural gas derivative valuations are estimated using New York Mercantile Exchange pricing for similar instruments, adjusted for basin differences, using market quotes. Where observable inputs are available for substantially the full term of the contract, the derivative asset or liability is included in Level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compensation assets and liabilities represent funds held by the Company in a Rabbi Trust for an executive deferral plan. These funds consist of actively traded equity and bond funds with quoted prices in active markets.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Level 3 Fair Value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Natural Gas Exchange Agreement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For the natural gas commodity exchange agreement, the Company uses the same Level 2 market quotes described above; however, the Company also estimates the purchase and sales volumes (within contractual limits) as well as the timing of those transactions. Changing the timing of volume estimates changes the timing of purchases and sales, impacting which brokered quote is used. Because the brokered quotes can vary significantly from period to period, the unobservable estimates of the timing and volume of transactions can have a significant impact on the calculated fair value. The Company currently estimates volumes and timing of transactions based on a most likely scenario using historical data. Historically, the timing and volume of transactions are not highly correlated with market prices and market volatility.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quantitative information which was used to estimate the fair values of the Level 3 assets and liabilities above as of June 30, 2026 (dollars in millions, except for per mmBTU amounts):</w:t>
      </w:r>
    </w:p>
    <w:tbl>
      <w:tblPr>
        <w:tblW w:w="10205" w:type="dxa"/>
        <w:jc w:val="left"/>
        <w:tblInd w:w="0" w:type="dxa"/>
        <w:tblLayout w:type="fixed"/>
        <w:tblCellMar>
          <w:top w:w="28" w:type="dxa"/>
          <w:left w:w="28" w:type="dxa"/>
          <w:bottom w:w="28" w:type="dxa"/>
          <w:right w:w="28" w:type="dxa"/>
        </w:tblCellMar>
      </w:tblPr>
      <w:tblGrid>
        <w:gridCol w:w="1920"/>
        <w:gridCol w:w="146"/>
        <w:gridCol w:w="410"/>
        <w:gridCol w:w="529"/>
        <w:gridCol w:w="166"/>
        <w:gridCol w:w="146"/>
        <w:gridCol w:w="2564"/>
        <w:gridCol w:w="146"/>
        <w:gridCol w:w="1674"/>
        <w:gridCol w:w="146"/>
        <w:gridCol w:w="2358"/>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br/>
              <w:t>(Net)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Range and Weighted</w:t>
            </w:r>
          </w:p>
        </w:tc>
      </w:tr>
      <w:tr>
        <w:trPr/>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Price</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Internally derived weighted average cost of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Forward purchase prices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$1.40 - $2.56/mmBTU</w:t>
              <w:br/>
              <w:t>$2.09 Weighted Average</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Forward sales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$1.75 - $6.56/mmBTU</w:t>
              <w:br/>
              <w:t>$4.54 Weighted Average</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Purchase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9,000 - 310,000 mmBTUs</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75,000 - 310,000 mmBTUs</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valuation methods, significant inputs and resulting fair values described above were developed by the Company and are reviewed on at least a quarterly basis to ensure they provide a reasonable estimate of fair value each reporting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Equity 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two equity investments measured at fair value on a recurring basis. For one investment, fair value is determined using a market approach, starting with enterprise values from recent market transaction data for comparable companies with similar equity instruments. The market transaction data was used to estimate an enterprise value of the underlying investment and that value was allocated to the various classes of equity via an option pricing model and a waterfall approach. The selection of appropriate comparable companies and the expected time to a liquidation event requires management judgment. The significant assumptions in the analysis include comparable market transactions and related enterprise values and time to liquidity event. In the event there were relevant market transactions for the same or similar securities of the subject company or there were a reasonable possibility of a transaction occurring, these transactions would be utilized as an input to the valuation with a probability weight applied to the valuation.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investment, fair value is determined using an income approach utilizing a discounted cash flow model. The model is based on income statement forecasts from the underlying company to determine cash flows for the period of ownership. The model then utilizes market multiples from publicly traded comparable companies in similar industries and projects to estimate the terminal fair value. The market multiples are reduced to reflect the difference in the life cycle between the publicly traded comparable companies and the start-up nature of the investment company. The selection of appropriate comparable companies, market multiples and the reduction to those market multiples requires management judgment. The significant assumptions in the model include the discount rate representing the risk associated with the investment, market multiples and the related reduction to those multiples, revenue forecasts, and the estimated terminal date for the investment. In the event there were relevant market transactions for the same or similar securities of the subject company or there were a reasonable possibility of a transaction occurring, those transactions would be used to determine the fair value of Avista Corp.’s investment under a market approach instead of utilizing a discounted cash flow model. The market transactions are considered Level 3 inputs because they are not publicly available observable transactions.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quantitative information and assumptions which were used to estimate the fair values of the Level 3 equity investments as of June 30, 2026 (dollars in millions):</w:t>
      </w:r>
    </w:p>
    <w:tbl>
      <w:tblPr>
        <w:tblW w:w="10154" w:type="dxa"/>
        <w:jc w:val="left"/>
        <w:tblInd w:w="0" w:type="dxa"/>
        <w:tblLayout w:type="fixed"/>
        <w:tblCellMar>
          <w:top w:w="28" w:type="dxa"/>
          <w:left w:w="28" w:type="dxa"/>
          <w:bottom w:w="28" w:type="dxa"/>
          <w:right w:w="28" w:type="dxa"/>
        </w:tblCellMar>
      </w:tblPr>
      <w:tblGrid>
        <w:gridCol w:w="1696"/>
        <w:gridCol w:w="146"/>
        <w:gridCol w:w="438"/>
        <w:gridCol w:w="657"/>
        <w:gridCol w:w="146"/>
        <w:gridCol w:w="146"/>
        <w:gridCol w:w="1921"/>
        <w:gridCol w:w="146"/>
        <w:gridCol w:w="2611"/>
        <w:gridCol w:w="146"/>
        <w:gridCol w:w="210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Range</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Comparable enterprise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$45-$560</w:t>
              <w:br/>
              <w:t>$282 Average</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Time to liquidity event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Revenue market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3.40x to 7.28x Revenue</w:t>
              <w:br/>
              <w:t>5.16x Average</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Market multiple exit reduction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Annual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$12 - 104</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Terminal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activity for assets and liabilities measured at fair value using significant unobservable inputs (Level 3) for the three and six months ended June 30 (dollars in millions):</w:t>
      </w:r>
    </w:p>
    <w:tbl>
      <w:tblPr>
        <w:tblW w:w="9344" w:type="dxa"/>
        <w:jc w:val="left"/>
        <w:tblInd w:w="0" w:type="dxa"/>
        <w:tblLayout w:type="fixed"/>
        <w:tblCellMar>
          <w:top w:w="28" w:type="dxa"/>
          <w:left w:w="28" w:type="dxa"/>
          <w:bottom w:w="28" w:type="dxa"/>
          <w:right w:w="28" w:type="dxa"/>
        </w:tblCellMar>
      </w:tblPr>
      <w:tblGrid>
        <w:gridCol w:w="3676"/>
        <w:gridCol w:w="146"/>
        <w:gridCol w:w="884"/>
        <w:gridCol w:w="1576"/>
        <w:gridCol w:w="166"/>
        <w:gridCol w:w="146"/>
        <w:gridCol w:w="544"/>
        <w:gridCol w:w="896"/>
        <w:gridCol w:w="166"/>
        <w:gridCol w:w="146"/>
        <w:gridCol w:w="211"/>
        <w:gridCol w:w="376"/>
        <w:gridCol w:w="4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Exchange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Recognized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Recognized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Recognized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Recognized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transfers into or out of Level 3 fair value measurements during the period.</w:t>
      </w:r>
    </w:p>
    <w:p>
      <w:pPr>
        <w:pStyle w:val="TextBody"/>
        <w:bidi w:val="0"/>
        <w:spacing w:before="240" w:after="283"/>
        <w:jc w:val="left"/>
        <w:rPr>
          <w:rFonts w:ascii="Times New Roman" w:hAnsi="Times New Roman"/>
          <w:b/>
          <w:color w:val="000000"/>
          <w:sz w:val="20"/>
        </w:rPr>
      </w:pPr>
      <w:bookmarkStart w:id="26" w:name="note_12_common_stock"/>
      <w:bookmarkEnd w:id="26"/>
      <w:r>
        <w:rPr>
          <w:rFonts w:ascii="Times New Roman" w:hAnsi="Times New Roman"/>
          <w:b/>
          <w:color w:val="000000"/>
          <w:sz w:val="20"/>
        </w:rPr>
        <w:t>NOTE 13.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issued shares of common stock for total net proceeds of $44 million and $58 million during the three and six months ended June 30, 2026. Most of these shares were issued in at-the-market transactions pursuant to the Company's sales agency agreements under which the Company may offer and sell new shares of common stock through its sales agents from time to time.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these sales agency agreements, the Company issued 1.0 million and 1.4 million shares during the three and six months ended June 30, 2026.</w:t>
      </w:r>
    </w:p>
    <w:p>
      <w:pPr>
        <w:pStyle w:val="TextBody"/>
        <w:bidi w:val="0"/>
        <w:spacing w:before="240" w:after="283"/>
        <w:jc w:val="left"/>
        <w:rPr>
          <w:rFonts w:ascii="Times New Roman" w:hAnsi="Times New Roman"/>
          <w:b/>
          <w:color w:val="000000"/>
          <w:sz w:val="20"/>
        </w:rPr>
      </w:pPr>
      <w:bookmarkStart w:id="27" w:name="note_14_earnings_per_common_share_attrib"/>
      <w:bookmarkEnd w:id="27"/>
      <w:r>
        <w:rPr>
          <w:rFonts w:ascii="Times New Roman" w:hAnsi="Times New Roman"/>
          <w:b/>
          <w:color w:val="000000"/>
          <w:sz w:val="20"/>
        </w:rPr>
        <w:t>NOTE 14. EARNINGS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computation of basic and diluted earnings per common share for the three and six months ended June 30 (dollars in millions, except per share amounts, and shares in thousands):</w:t>
      </w:r>
    </w:p>
    <w:tbl>
      <w:tblPr>
        <w:tblW w:w="10205" w:type="dxa"/>
        <w:jc w:val="left"/>
        <w:tblInd w:w="0" w:type="dxa"/>
        <w:tblLayout w:type="fixed"/>
        <w:tblCellMar>
          <w:top w:w="28" w:type="dxa"/>
          <w:left w:w="28" w:type="dxa"/>
          <w:bottom w:w="28" w:type="dxa"/>
          <w:right w:w="28" w:type="dxa"/>
        </w:tblCellMar>
      </w:tblPr>
      <w:tblGrid>
        <w:gridCol w:w="5158"/>
        <w:gridCol w:w="146"/>
        <w:gridCol w:w="219"/>
        <w:gridCol w:w="704"/>
        <w:gridCol w:w="151"/>
        <w:gridCol w:w="151"/>
        <w:gridCol w:w="219"/>
        <w:gridCol w:w="704"/>
        <w:gridCol w:w="146"/>
        <w:gridCol w:w="146"/>
        <w:gridCol w:w="211"/>
        <w:gridCol w:w="676"/>
        <w:gridCol w:w="146"/>
        <w:gridCol w:w="146"/>
        <w:gridCol w:w="211"/>
        <w:gridCol w:w="676"/>
        <w:gridCol w:w="395"/>
      </w:tblGrid>
      <w:tr>
        <w:trPr/>
        <w:tc>
          <w:tcPr>
            <w:tcW w:w="5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and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shares excluded from the calculation because they were antidilutive.</w:t>
      </w:r>
    </w:p>
    <w:p>
      <w:pPr>
        <w:pStyle w:val="TextBody"/>
        <w:bidi w:val="0"/>
        <w:spacing w:before="120" w:after="283"/>
        <w:jc w:val="left"/>
        <w:rPr>
          <w:rFonts w:ascii="Times New Roman" w:hAnsi="Times New Roman"/>
          <w:b/>
          <w:color w:val="000000"/>
          <w:sz w:val="20"/>
        </w:rPr>
      </w:pPr>
      <w:bookmarkStart w:id="28" w:name="note_15_commitments_contingencies"/>
      <w:bookmarkEnd w:id="28"/>
      <w:r>
        <w:rPr>
          <w:rFonts w:ascii="Times New Roman" w:hAnsi="Times New Roman"/>
          <w:b/>
          <w:color w:val="000000"/>
          <w:sz w:val="20"/>
        </w:rPr>
        <w:t>NOTE 15.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its business, the Company becomes involved in various claims, controversies, disputes and other contingent matters, including the items described in this Note. Some of these claims, controversies, disputes and other contingent matters involve litigation or other contested proceedings. For all such matters, the Company will vigorously protect and defend its interests and pursue its rights. However, no assurance can be given as to the outcome of any matter because litigation and other contested proceedings are subject to numerous uncertainties. For matters affecting Avista Utilities’ or AEL&amp;P's operations, the Company intends to seek, to the extent appropriate, recovery of costs through the ratemaking process.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Collective Bargaining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collective bargaining agreement with the IBEW represents 35 percent of all Avista Utilities' employees. The Company's largest represented group, representing approximately 90 percent of Avista Utilities' bargaining unit employees in Washington, Idaho and Montana, are covered under a four-year agreement which expires in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Company's System Operators voted to unionize, and the National Labor Relations Board certified the IBEW Local 77 as their exclusive collective bargaining representative. We are in the process of negotiating a separate contract with the IBEW for the System Operator group, which is comprised of approximately 20 employees. </w:t>
      </w:r>
    </w:p>
    <w:p>
      <w:pPr>
        <w:pStyle w:val="TextBody"/>
        <w:bidi w:val="0"/>
        <w:spacing w:before="120" w:after="283"/>
        <w:jc w:val="left"/>
        <w:rPr>
          <w:rFonts w:ascii="Times New Roman" w:hAnsi="Times New Roman"/>
          <w:sz w:val="20"/>
        </w:rPr>
      </w:pPr>
      <w:r>
        <w:rPr>
          <w:rFonts w:ascii="Times New Roman" w:hAnsi="Times New Roman"/>
          <w:b/>
          <w:i/>
          <w:color w:val="000000"/>
          <w:sz w:val="20"/>
        </w:rPr>
        <w:t>Orofino Fire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a fire started in windy conditions near Orofino, Idaho, burning 53 acres and seven primary residences, as well as several outbuildings. The Idaho Department of Lands investigated and has issued a report in which it concluded the fire was caused by an electrical fault igniting three separate spots which then spread uphill. The Company has a distribution line in the area near the ignition point. The Company has to date found no evidence suggesting negligence on its part. Three minor claims for damage to personal property were received in connection with the fire, which were resolved. The Company has received one additional claim in connection with the fire for suppression costs from the Idaho Department of Lands seeking $0.2 million. The Company will vigorously defend itself in the event any additional claims are asserted; however, at this time, it is unable to estimate the likelihood of an adverse outcome or the amount or range of a potential loss in the event of an adverse outcome.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Rathdrum, Idaho Natural Gas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there was an incident in Rathdrum, Idaho involving the Company’s natural gas infrastructure. The incident occurred after a third party damaged those facilities during excavation work. The incident resulted in a fire which destroyed one residence and resulted in minor injuries to the occupants. In January 2023, the Company was served with a lawsuit filed in the District Court of Kootenai County, Idaho by one property owner, seeking unspecified damages. In February 2024, the Company received a second lawsuit filed by the owners of the adjacent property, seeking damages for personal injury and emotional distress from having witnessed the incident. On motions for summary judgment, the Court dismissed the party that had originally contracted for the excavation work, as well as claims brought on behalf of the children of the property owners whose home was damaged. In July 2026, the Company entered into a settlement agreement with the remaining parties in the case for $1.3 million. </w:t>
      </w:r>
    </w:p>
    <w:p>
      <w:pPr>
        <w:pStyle w:val="TextBody"/>
        <w:bidi w:val="0"/>
        <w:spacing w:before="120" w:after="283"/>
        <w:jc w:val="left"/>
        <w:rPr>
          <w:rFonts w:ascii="Times New Roman" w:hAnsi="Times New Roman"/>
          <w:sz w:val="20"/>
        </w:rPr>
      </w:pPr>
      <w:r>
        <w:rPr>
          <w:rFonts w:ascii="Times New Roman" w:hAnsi="Times New Roman"/>
          <w:b/>
          <w:i/>
          <w:color w:val="000000"/>
          <w:sz w:val="20"/>
        </w:rPr>
        <w:t>Complaint of Consumers for Independent Regional Transmission Planning for All FERC-Jurisdictional Transmission Facilities at 100kV and Above</w:t>
      </w:r>
      <w:r>
        <w:rPr>
          <w:rFonts w:ascii="Times New Roman" w:hAnsi="Times New Roman"/>
          <w:color w:val="000000"/>
          <w:sz w:val="20"/>
        </w:rPr>
        <w:t xml:space="preserve">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December 2024, the Company received notice of a complaint filed with the FERC by Consumers for Independent Regional Transmission Planning against all FERC-jurisdictional Transmission providers with local planning tariffs utilizing facilities at 100 kV and above, which includes the Company. The complaint alleges that the local transmission planning process allows individual transmission owners to plan FERC-jurisdictional transmission facilities without regard to whether that planning is the more efficient or cost-effective project for the interconnected grid and cost effective for customers. The Company intends to vigorously defend itself in this action; however, at this time, the Company is unable to predict the likelihood of an adverse outcome or estimate a range of potential loss in the event of such an outcome.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has various other legal claims and contingent matters outstanding. The Company believes any liability arising from these actions will not have a material impact on its financial condition, results of operations or cash flows. It is possible a change could occur in the Company’s estimates of the probability or amount of a liability being incurred. Such a change, should it occur, could be significant. See "Note 22 of the Notes to Consolidated Financial Statements" in the 2025 Form 10-K for additional discussion regarding other contingencies.</w:t>
      </w:r>
    </w:p>
    <w:p>
      <w:pPr>
        <w:pStyle w:val="TextBody"/>
        <w:bidi w:val="0"/>
        <w:spacing w:before="240" w:after="283"/>
        <w:jc w:val="left"/>
        <w:rPr>
          <w:rFonts w:ascii="Times New Roman" w:hAnsi="Times New Roman"/>
          <w:sz w:val="20"/>
        </w:rPr>
      </w:pPr>
      <w:bookmarkStart w:id="29" w:name="note_16_information_by_business_segments"/>
      <w:bookmarkEnd w:id="29"/>
      <w:r>
        <w:rPr>
          <w:rFonts w:ascii="Times New Roman" w:hAnsi="Times New Roman"/>
          <w:b/>
          <w:color w:val="000000"/>
          <w:sz w:val="20"/>
        </w:rPr>
        <w:t>NOTE 16. INFORMATION</w:t>
      </w:r>
      <w:r>
        <w:rPr>
          <w:rFonts w:ascii="Times New Roman" w:hAnsi="Times New Roman"/>
          <w:color w:val="000000"/>
          <w:sz w:val="20"/>
        </w:rPr>
        <w:t xml:space="preserve"> </w:t>
      </w:r>
      <w:r>
        <w:rPr>
          <w:rFonts w:ascii="Times New Roman" w:hAnsi="Times New Roman"/>
          <w:b/>
          <w:color w:val="000000"/>
          <w:sz w:val="20"/>
        </w:rPr>
        <w:t>BY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segment presentation reflects the information reviewed by the Company's Chief Operating Decision Maker (CODM, the Company's President and Chief Executive Officer). Such information is the basis for the analysis of segment performance and the allocation of resources. Performance is evaluated based on net income (loss) and variances of actual performance from the Company's budget and/or forecast when making decisions. The accounting policies of the segments are the same as those described in the summary of significant accounting policies. Avista Utilities' business is managed based on the total regulated utility operation; therefore, it is considered one segment. AEL&amp;P is a separate reportable business segment since it has separate financial information and its operations and risks are sufficiently different from Avista Utilities and the other businesses at AERC that it cannot be aggregated with other operating segments. The Other category, which is not a reportable segment, includes other investments and operations of various subsidiaries, as well as certain other operations of Avista Capital. Decisions by the CODM are made in consultation with other members of management, as appropriate, and are subject to the general oversight and strategic direction of the Board of Directors.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information for each of the Company’s business segments (dollars in millions):</w:t>
      </w:r>
    </w:p>
    <w:tbl>
      <w:tblPr>
        <w:tblW w:w="10205" w:type="dxa"/>
        <w:jc w:val="left"/>
        <w:tblInd w:w="0" w:type="dxa"/>
        <w:tblLayout w:type="fixed"/>
        <w:tblCellMar>
          <w:top w:w="28" w:type="dxa"/>
          <w:left w:w="28" w:type="dxa"/>
          <w:bottom w:w="28" w:type="dxa"/>
          <w:right w:w="28" w:type="dxa"/>
        </w:tblCellMar>
      </w:tblPr>
      <w:tblGrid>
        <w:gridCol w:w="2600"/>
        <w:gridCol w:w="146"/>
        <w:gridCol w:w="196"/>
        <w:gridCol w:w="511"/>
        <w:gridCol w:w="146"/>
        <w:gridCol w:w="146"/>
        <w:gridCol w:w="226"/>
        <w:gridCol w:w="435"/>
        <w:gridCol w:w="146"/>
        <w:gridCol w:w="146"/>
        <w:gridCol w:w="218"/>
        <w:gridCol w:w="572"/>
        <w:gridCol w:w="146"/>
        <w:gridCol w:w="146"/>
        <w:gridCol w:w="645"/>
        <w:gridCol w:w="1241"/>
        <w:gridCol w:w="166"/>
        <w:gridCol w:w="146"/>
        <w:gridCol w:w="358"/>
        <w:gridCol w:w="635"/>
        <w:gridCol w:w="166"/>
        <w:gridCol w:w="146"/>
        <w:gridCol w:w="196"/>
        <w:gridCol w:w="511"/>
        <w:gridCol w:w="215"/>
      </w:tblGrid>
      <w:tr>
        <w:trPr/>
        <w:tc>
          <w:tcPr>
            <w:tcW w:w="2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Alaska</w:t>
              <w:br/>
              <w:t>Electric</w:t>
              <w:br/>
              <w:t>Light and</w:t>
              <w:br/>
              <w:t>Power</w:t>
              <w:b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Other Non-Reportable Segment 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Eliminations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Intersegment eliminations reported as interest expense represent intercompany interest.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Including interest expense to affiliated trusts.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segment items include taxes other than income tax, AFUDC equity, and other miscellaneous expenses.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capital expenditures for the other businesses are included in other investing activities on the Condensed Consolidated Statements of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color w:val="000000"/>
          <w:sz w:val="20"/>
        </w:rPr>
      </w:pPr>
      <w:bookmarkStart w:id="30" w:name="report_independent_registered_public_acc"/>
      <w:bookmarkEnd w:id="30"/>
      <w:r>
        <w:rPr>
          <w:rFonts w:ascii="Times New Roman" w:hAnsi="Times New Roman"/>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shareholders and the Board of Directors of</w:t>
      </w:r>
    </w:p>
    <w:p>
      <w:pPr>
        <w:pStyle w:val="TextBody"/>
        <w:bidi w:val="0"/>
        <w:jc w:val="left"/>
        <w:rPr>
          <w:rFonts w:ascii="Times New Roman" w:hAnsi="Times New Roman"/>
          <w:color w:val="000000"/>
          <w:sz w:val="20"/>
        </w:rPr>
      </w:pPr>
      <w:r>
        <w:rPr>
          <w:rFonts w:ascii="Times New Roman" w:hAnsi="Times New Roman"/>
          <w:color w:val="000000"/>
          <w:sz w:val="20"/>
        </w:rPr>
        <w:t>Avista Corporation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Review of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reviewed the accompanying condensed consolidated balance sheet of Avista Corporation and subsidiaries (the "Company") as of June 30, 2026, the related condensed consolidated statements of income and comprehensive income and equity for the three-month and six-month periods ended June 30, 2026 and 2025, and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previously audited, in accordance with the standards of the Public Company Accounting Oversight Board (United States) (PCAOB), the consolidated balance sheet of the Company as of December 31, 2025, and the related consolidated statements of income, comprehensive income, equity, and cash flows for the year then ended (not presented herein); and in our report dated February 24,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Review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Portland, Oregon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July 31, 2026</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left"/>
        <w:rPr>
          <w:rFonts w:ascii="Times New Roman" w:hAnsi="Times New Roman"/>
          <w:b/>
          <w:color w:val="000000"/>
          <w:sz w:val="20"/>
          <w:u w:val="single"/>
        </w:rPr>
      </w:pPr>
      <w:bookmarkStart w:id="31" w:name="item_2_managements_discussion_analysis_f"/>
      <w:bookmarkEnd w:id="31"/>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(MD&amp;A) was prepared in accordance with the SEC’s Regulation S-K for interim financial information and with the instructions to Form 10-Q. Accordingly, this MD&amp;A does not contain the full detail or analysis, or the full discussion of trends and uncertainties, that are required to accompany financial statements for a full fiscal year and are contained in the Company's 2025 Form 10-K. Therefore, this MD&amp;A should be read in conjunction with the Company's 2025 Form 10-K for full detail and analysis of the Company's financial condition, and results of operations, and a full discussion of trends and uncertainties that the Company faces.</w:t>
      </w:r>
    </w:p>
    <w:p>
      <w:pPr>
        <w:pStyle w:val="TextBody"/>
        <w:bidi w:val="0"/>
        <w:spacing w:before="240" w:after="283"/>
        <w:jc w:val="left"/>
        <w:rPr>
          <w:rFonts w:ascii="Times New Roman" w:hAnsi="Times New Roman"/>
          <w:b/>
          <w:color w:val="000000"/>
          <w:sz w:val="20"/>
          <w:u w:val="single"/>
        </w:rPr>
      </w:pPr>
      <w:bookmarkStart w:id="32" w:name="business_segments"/>
      <w:bookmarkEnd w:id="32"/>
      <w:r>
        <w:rPr>
          <w:rFonts w:ascii="Times New Roman" w:hAnsi="Times New Roman"/>
          <w:b/>
          <w:color w:val="000000"/>
          <w:sz w:val="20"/>
          <w:u w:val="single"/>
        </w:rPr>
        <w:t>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segments have not changed during the six months ended June 30, 2026. See the 2025 Form 10-K as well as “Note 16 of the Notes to Condensed Consolidated Financial Statements” for further information regarding our business segments.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net income (loss) for each of our business segments and the other businesses for the three and six months ended June 30 (dollars in millions):</w:t>
      </w:r>
    </w:p>
    <w:tbl>
      <w:tblPr>
        <w:tblW w:w="8464" w:type="dxa"/>
        <w:jc w:val="left"/>
        <w:tblInd w:w="0" w:type="dxa"/>
        <w:tblLayout w:type="fixed"/>
        <w:tblCellMar>
          <w:top w:w="28" w:type="dxa"/>
          <w:left w:w="28" w:type="dxa"/>
          <w:bottom w:w="28" w:type="dxa"/>
          <w:right w:w="28" w:type="dxa"/>
        </w:tblCellMar>
      </w:tblPr>
      <w:tblGrid>
        <w:gridCol w:w="3661"/>
        <w:gridCol w:w="146"/>
        <w:gridCol w:w="324"/>
        <w:gridCol w:w="485"/>
        <w:gridCol w:w="224"/>
        <w:gridCol w:w="224"/>
        <w:gridCol w:w="324"/>
        <w:gridCol w:w="577"/>
        <w:gridCol w:w="166"/>
        <w:gridCol w:w="146"/>
        <w:gridCol w:w="268"/>
        <w:gridCol w:w="535"/>
        <w:gridCol w:w="185"/>
        <w:gridCol w:w="185"/>
        <w:gridCol w:w="268"/>
        <w:gridCol w:w="535"/>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AEL&amp;P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non-reportable segment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33" w:name="executive_level_summary"/>
      <w:bookmarkEnd w:id="33"/>
      <w:r>
        <w:rPr>
          <w:rFonts w:ascii="Times New Roman" w:hAnsi="Times New Roman"/>
          <w:b/>
          <w:color w:val="000000"/>
          <w:sz w:val="20"/>
          <w:u w:val="single"/>
        </w:rPr>
        <w:t>Executive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Overall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for the three and six months ended June 30, 2026 increased compared to the three and six months ended June 30, 2025, primarily due to net investment gains at our other businesses, compared to net investment losses in the respective periods of 2025. See “Note 5 of the Notes to Condensed Consolidated Financial Statements” for additional information regarding the gain recorded in the second quarter of 2026, as well as expected gains and losses during the remainder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our general rate cases also increased net income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comparing results from the first half of 2026 to the first half of 2025, the transfer of our ownership of Colstrip (effective January 1, 2026) has resulted in fluctuations in multiple line items on the income statement, which ultimately net to an immaterial impact on net income. The removal of Colstrip from our generation portfolio resulted in an increase in authorized power supply cost and increases in both electric utility revenues and electric resource costs (resulting in no impact on net income). In addition, other operating costs and depreciation expense have decreased, with a corresponding decrease in electric utility revenues associated with recovery of these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detailed explanations of the fluctuations in revenues and expenses are provided in the results of operations and business segment discussions (Avista Utilities, AEL&amp;P, and the other businesses) that follow this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summary of key developments and issues that are the focus of management under the heading “Executive Overview” in the MD&amp;A of our 2025 10-K. The following developments have occurred since that report: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Wildfire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number of wildfires have occurred within our service territory in 2026, impacting our operations. While the causes of some fires remain under investigation, virtually all have been attributed to human activity or lightning. Two fires ignited near our facilities but have since been fully contained. One fire damaged a small storage facility. No structures were impacted by the other fire. We do not believe either of these ignitions resulted from the improper operation or maintenance of our facilities. In response to an increased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wildfire risk driven primarily by high winds and drier-than-normal conditions, we have proactively implemented enhanced system protections and public safety power shutoffs. We continue to monitor conditions closely and respond as needed to mitigate this elevated risk.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Hydroelectric Conditions and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hydroelectric generation year-to-date has been above normal. The amount of hydroelectric generation is affected not only by snowpack levels but also by prevailing temperatures (which affect the timing and speed of run-off) and the volume, timing and form of precipitation. On balance, we expect hydroelectric generation for the entire year will be above normal. While our current hydroelectric forecast shows above normal levels of generation for the full year, whether actual results are above or below normal, there would be no material change to our net income, based upon our forecast surcharge position in the 90 percent customer, 10 percent company sharing band of the ERM.</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Potential Large Load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May 2026, we entered into a non-binding memorandum of understanding (MOU) with a data center developer seeking interconnection and energy supply in our Washington service territory. The developer is seeking an initial load demand of 125 MW starting in 2029, with a pathway to expand to 500 MW by 2032.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June 2026, we announced that we will take additional time to evaluate the processing of energy requests from data center developers, and have paused negotiations associated with the MOU. This decision followed community interest and concern surrounding the MOU. We are seeking to partner with governmental agencies on creating a clear and coordinated planning process as we consider additional stakeholder feedback associated with large load requests.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Enterprise Resource Planning (ERP) Project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planning to implement an ERP system, replacing certain existing technology tools currently in use. The system will be designed to accurately maintain our financial records, enhance operational functionality, and provide timely information to our management team related to business operations. We expect the ERP system to be implemented in 2028, with capital expenditures of approximately $130 million.</w:t>
      </w:r>
    </w:p>
    <w:p>
      <w:pPr>
        <w:pStyle w:val="TextBody"/>
        <w:bidi w:val="0"/>
        <w:spacing w:before="80" w:after="283"/>
        <w:jc w:val="left"/>
        <w:rPr>
          <w:rFonts w:ascii="Times New Roman" w:hAnsi="Times New Roman"/>
          <w:b/>
          <w:color w:val="000000"/>
          <w:sz w:val="20"/>
          <w:u w:val="single"/>
        </w:rPr>
      </w:pPr>
      <w:bookmarkStart w:id="34" w:name="regulatory_matters"/>
      <w:bookmarkEnd w:id="34"/>
      <w:r>
        <w:rPr>
          <w:rFonts w:ascii="Times New Roman" w:hAnsi="Times New Roman"/>
          <w:b/>
          <w:color w:val="000000"/>
          <w:sz w:val="20"/>
          <w:u w:val="single"/>
        </w:rPr>
        <w:t>Regulatory Matters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review the need for electric and natural gas rate changes in each state in which we provide service. We expect to continue to file for rate adjustments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recovery of operating costs and capital investments,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the opportunity to earn reasonable returns as allowed by regulators.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timing and plans for future filings, the assessment of our need for rate relief and the development of rate case plans takes into consideration short-term and long-term needs, as well as specific factors including, but not limited to, in-service dates of major capital investments and the timing of changes in major revenue and expense items.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Avista Utilities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General Rate Cases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WUTC issued orders related to our multi-year electric and natural gas general rate cases filed with the WUTC in January 2024.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approved rates within the orders are designed to increase annual electric base revenues by $12 million (or 2.0 percent), effective January 1, 2025 (Rate Year 1), and $69 million (or 11.4 percent), effective January 1, 2026 (Rate Year 2). The Rate Year 2 increase includes $54 million related to higher authorized power supply costs resulting from the removal of Colstrip from our generation portfolio. This base increase is offset by decreases in capital and operating costs removed from customer rates of $43 million, effective January 1, 2026, as we are no longer recovering Colstrip 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approved rates are also designed to increase annual natural gas base revenues by $14 million (or 11.2 percent), effective January 1, 2025, and $4 million (or 2.8 percent), effective January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WUTC approved an ROE of 9.8 percent, based on a common equity ratio of 48.5 percent, and an ROR of 7.32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WUTC did not approve our request to modify the ERM under which differences between actual net power supply costs and the amount reflected in base retail customer rates are tracked. Based on our forecast energy commodity costs in 2026, we expect actual net power supply costs to exceed the level included in base rates. We plan to continue to address how net power supply costs are set in base rates in future regulatory proceedings.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WUTC continued its support for important recovery mechanisms such as wildfire and insurance balancing accounts, and decoupling.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2026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we filed an MYRP with the WUTC. The MYRP requests base rate relief over four years designed to produce the additional base revenues shown below (dollars in millions):</w:t>
      </w:r>
    </w:p>
    <w:tbl>
      <w:tblPr>
        <w:tblW w:w="5678" w:type="dxa"/>
        <w:jc w:val="left"/>
        <w:tblInd w:w="0" w:type="dxa"/>
        <w:tblLayout w:type="fixed"/>
        <w:tblCellMar>
          <w:top w:w="28" w:type="dxa"/>
          <w:left w:w="28" w:type="dxa"/>
          <w:bottom w:w="28" w:type="dxa"/>
          <w:right w:w="28" w:type="dxa"/>
        </w:tblCellMar>
      </w:tblPr>
      <w:tblGrid>
        <w:gridCol w:w="796"/>
        <w:gridCol w:w="1141"/>
        <w:gridCol w:w="146"/>
        <w:gridCol w:w="211"/>
        <w:gridCol w:w="421"/>
        <w:gridCol w:w="146"/>
        <w:gridCol w:w="146"/>
        <w:gridCol w:w="146"/>
        <w:gridCol w:w="466"/>
        <w:gridCol w:w="271"/>
        <w:gridCol w:w="146"/>
        <w:gridCol w:w="211"/>
        <w:gridCol w:w="316"/>
        <w:gridCol w:w="146"/>
        <w:gridCol w:w="146"/>
        <w:gridCol w:w="146"/>
        <w:gridCol w:w="361"/>
        <w:gridCol w:w="316"/>
      </w:tblGrid>
      <w:tr>
        <w:trPr/>
        <w:tc>
          <w:tcPr>
            <w:tcW w:w="7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Rate Year</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Rates Effective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requested an overall rate of return beginning in 2027 of 7.5 percent, with a 48.5 common equity ratio and a 10.2 percent return on equity. We requested an increase to the overall rate of return in 2029 to 7.67 percent, with a 48.5 common equity ratio and 10.5 percent return on equity. </w:t>
      </w:r>
    </w:p>
    <w:p>
      <w:pPr>
        <w:pStyle w:val="TextBody"/>
        <w:bidi w:val="0"/>
        <w:jc w:val="left"/>
        <w:rPr>
          <w:rFonts w:ascii="Times New Roman" w:hAnsi="Times New Roman"/>
          <w:color w:val="000000"/>
          <w:sz w:val="20"/>
        </w:rPr>
      </w:pPr>
      <w:r>
        <w:rPr>
          <w:rFonts w:ascii="Times New Roman" w:hAnsi="Times New Roman"/>
          <w:color w:val="000000"/>
          <w:sz w:val="20"/>
        </w:rPr>
        <w:t>Key drivers of the revenue requirement in Rate Year 1 (2027) are outlined below (dollars in millions):</w:t>
      </w:r>
    </w:p>
    <w:tbl>
      <w:tblPr>
        <w:tblW w:w="4567" w:type="dxa"/>
        <w:jc w:val="left"/>
        <w:tblInd w:w="0" w:type="dxa"/>
        <w:tblLayout w:type="fixed"/>
        <w:tblCellMar>
          <w:top w:w="28" w:type="dxa"/>
          <w:left w:w="28" w:type="dxa"/>
          <w:bottom w:w="28" w:type="dxa"/>
          <w:right w:w="28" w:type="dxa"/>
        </w:tblCellMar>
      </w:tblPr>
      <w:tblGrid>
        <w:gridCol w:w="2191"/>
        <w:gridCol w:w="146"/>
        <w:gridCol w:w="211"/>
        <w:gridCol w:w="421"/>
        <w:gridCol w:w="146"/>
        <w:gridCol w:w="146"/>
        <w:gridCol w:w="346"/>
        <w:gridCol w:w="569"/>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amortizations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Wildfire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MYRP, we propose certain changes to the calculation of authorized baseline power supply costs. These changes are designed to address the changing market dynamics which have led to significant volatility in actual power supply costs. The MYRP provides updates to our baseline power supply cost for rate years one and two; as required by Washington law, baseline power supply costs for Rate Years 3 and 4 will be established in later filings and as such are not included in the additional revenue requirements for those years shown above. In addition, we are proposing changes to the timing for recovery of costs deferred under the ERM.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to requesting re-approval of existing insurance, wildfire, and decoupling deferral accounts, we are proposing an additional deferral mechanism for costs associated with employee benefits.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Washington law requires utilities to file MYRPs of a minimum of two and up to four years. The law allows utilities filing a rate plan of three or four years the option to file a new rate plan for the third year and fourth year. Under this provision, we have the opportunity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address the numerous unpredictable factors that could materially affect our financial position over a longer-term rate plan. These risks include, but are not limited to, inflation, interest rate volatility, labor and benefits challenges, escalating capital costs, and other unforeseen cost drivers.</w:t>
      </w:r>
    </w:p>
    <w:p>
      <w:pPr>
        <w:pStyle w:val="TextBody"/>
        <w:bidi w:val="0"/>
        <w:jc w:val="left"/>
        <w:rPr>
          <w:rFonts w:ascii="Times New Roman" w:hAnsi="Times New Roman"/>
          <w:color w:val="000000"/>
          <w:sz w:val="20"/>
        </w:rPr>
      </w:pPr>
      <w:r>
        <w:rPr>
          <w:rFonts w:ascii="Times New Roman" w:hAnsi="Times New Roman"/>
          <w:color w:val="000000"/>
          <w:sz w:val="20"/>
        </w:rPr>
        <w:t>The WUTC has up to eleven months to review the general rate case filings and issue a decision. The evidentiary hearing is scheduled for September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Idaho General Rate Cases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IPUC approved the all-party settlement agreement designed to increase annual base electric revenues by $20 million, or 6.3 percent, effective September 2025, and $15 million, or 4.5 percent, effective September 2026. For natural gas, the agreement was designed to increase annual base natural gas revenues by $5 million, or 9.2 percent, effective September 2025, and decrease annual base natural gas revenues by $0.2 million, or 0.4 percent, effective September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settlement was based on an ROE of 9.6 percent with a common equity ratio of 50 percent and an ROR of 7.28 percent.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2027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file electric and natural gas general rate cases with the IPUC in the first quarter of 2027.</w:t>
      </w:r>
    </w:p>
    <w:p>
      <w:pPr>
        <w:pStyle w:val="TextBody"/>
        <w:bidi w:val="0"/>
        <w:spacing w:before="120" w:after="283"/>
        <w:jc w:val="left"/>
        <w:rPr>
          <w:rFonts w:ascii="Times New Roman" w:hAnsi="Times New Roman"/>
          <w:sz w:val="20"/>
        </w:rPr>
      </w:pPr>
      <w:r>
        <w:rPr>
          <w:rFonts w:ascii="Times New Roman" w:hAnsi="Times New Roman"/>
          <w:b/>
          <w:i/>
          <w:color w:val="000000"/>
          <w:sz w:val="20"/>
        </w:rPr>
        <w:t>Oregon General Rate Case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General Rate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OPUC approved the all-party settlement agreement designed to increase annual base revenues by $4 million, or 5.0 percent, effective in September 2025. The settlement was based on an ROE of 9.5 percent with a common equity ratio of 50 percent and an ROR of 7.22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mitigate the overall impact of the revenue increases on customers, $5 million of tax customer credits will be accelerated and returned to customers over a three-year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Future Oregon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Governor of Oregon signed House Bill 3179 into law which modifies certain provisions of law that relate to general rate case filings and cost recovery. The law, among other things, extends the length of time for the OPUC to suspend rates from a proposed effective date from nine to ten months, does not allow residential rate increases of any kind between November 1 and March 31, does not allow new rates to take effect from a proceeding where the return on equity is at issue within eighteen months of the prior rate effective date, authorizes (but does not require) securitization of “capital investments” that will cause rates to “rise by more than five percent” under specific circumstances, and calls for the OPUC to establish rules requiring utilities to establish a multi-year rate plan for rate revisions where a company’s return on equity is reviewed. Such rate plans must be no less than three years and no more than seven years in length. Rulemakings to institute these provisions started in September 2025 and will continue through 2026. We are analyzing the possible effects of this legislation, including how it will impact the timing of future rate case filings.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Purchased Gas Adjustments, Power Cost Deferrals and Decoupling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our 2025 Form 10-K for discussion of the various regulatory recovery mechanisms in each of our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we received approval from the WUTC to recover $32 million of the ERM deferred surcharge balance in Washington over a two-year period starting July 1, 2025. In 2026, we received approval from the WUTC to recover an additional $65 million of the ERM deferred surcharge balance in Washington over a two-year period starting July 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Alaska Electric Light and Power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Alaska General Rate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AEL&amp;P filed an electric general rate case with the Regulatory Commission of Alaska (RCA). AEL&amp;P's request for an interim base rate increase of 12.5 percent (designed to increase electric revenues by $5 million), was approved and took effect in June 2026. AEL&amp;P is seeking a permanent base rate increase of an additional 12.6 percent (designed to increase electric revenues by $5 million), which, if approved, could take effect in August 2027. This represents a combined total rate increase of 25.1 percent (designed to increase electric revenues by $10.0 million). The proposed revenue increase request is based on a 13.2 percent ROE with a common equity ratio of 58.33 percent and a ROR of 9.75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RCA must rule on permanent rate increases within 450 days (approximately 15 months) from the date of filing.</w:t>
      </w:r>
    </w:p>
    <w:p>
      <w:pPr>
        <w:pStyle w:val="TextBody"/>
        <w:bidi w:val="0"/>
        <w:spacing w:before="120" w:after="283"/>
        <w:jc w:val="left"/>
        <w:rPr>
          <w:rFonts w:ascii="Times New Roman" w:hAnsi="Times New Roman"/>
          <w:b/>
          <w:color w:val="000000"/>
          <w:sz w:val="20"/>
          <w:u w:val="single"/>
        </w:rPr>
      </w:pPr>
      <w:bookmarkStart w:id="35" w:name="results_of_operations_overall"/>
      <w:bookmarkEnd w:id="35"/>
      <w:r>
        <w:rPr>
          <w:rFonts w:ascii="Times New Roman" w:hAnsi="Times New Roman"/>
          <w:b/>
          <w:color w:val="000000"/>
          <w:sz w:val="20"/>
          <w:u w:val="single"/>
        </w:rPr>
        <w:t>Results of Operations - Overall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provides an overview of changes in our Condensed Consolidated Statements of Income and Comprehensive Income. More detailed explanations are provided, particularly for operating revenues and operating expenses, in the business segment discussions (Avista Utilities, AEL&amp;P, and the other businesses) that follow this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included below for utility operations reconcile to the Condensed Consolidated Statements of Income and Comprehensive Income.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June 30, 2026 compared to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shows the total change in net income for the second quarter of 2026 compared to the second quarter of 2025, as well as the factors that caused such change (dollars in millions):</w:t>
      </w:r>
    </w:p>
    <w:p>
      <w:pPr>
        <w:pStyle w:val="TextBody"/>
        <w:bidi w:val="0"/>
        <w:spacing w:before="120" w:after="283"/>
        <w:jc w:val="center"/>
        <w:rPr/>
      </w:pPr>
      <w:r>
        <w:rPr/>
        <w:drawing>
          <wp:inline distT="0" distB="0" distL="0" distR="0">
            <wp:extent cx="6858000" cy="2981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813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Electric Utility revenues increased due to increases in retail rates associated with our general rate case, which were partially offset by removing the recovery of Colstrip related costs. This increase to revenues was largely offset by decreased wholesale revenues and decreases in volumes sold. The decrease in volumes sold is due to the departure of a large industrial customer in April 2026. Natural gas revenues increased due to rate increases, largely offset by decreases in wholesale revenues and decoupling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Electric utility resource costs decreased primarily due to decreased fuel for generation costs partially due to the removal of Colstrip from our generation portfolio. This was partially offset by increased purchased power volumes and wholesale prices, as well as increased costs under the ERM. Natural gas utility resource costs decreased due to decreases in volumes of natural gas purchased.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utility operating expenses increased due primarily to increased employee salaries and benefit costs, partially offset with decreases from removing Colstrip 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Utility depreciation and amortization decreased primarily due to our exit from Colstrip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increased primarily due to increased pre-tax income from continuing operations (including equity method earnings) compared to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equity method earnings were primarily the result of underlying investment appreciation recognized in the second quarter of 2026, compared to losses recognized in the second quarter of 2025. See “Note 5 of the Notes to Condensed Consolidated Financial Statements” for additional information regarding the gain recorded in the second quarter of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June 30, 2026 compared to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shows the total change in net income for the six months ended June 30, 2026 compared to the six months ended June 30, 2025, as well as the factors that caused such change (dollars in millions):</w:t>
      </w:r>
    </w:p>
    <w:p>
      <w:pPr>
        <w:pStyle w:val="TextBody"/>
        <w:bidi w:val="0"/>
        <w:spacing w:before="120" w:after="283"/>
        <w:jc w:val="center"/>
        <w:rPr/>
      </w:pPr>
      <w:r>
        <w:rPr/>
        <w:drawing>
          <wp:inline distT="0" distB="0" distL="0" distR="0">
            <wp:extent cx="6858000" cy="2981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9813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Electric utility revenues decreased primarily as a result of decreased wholesale revenues associated with lower market prices, a reduction of revenues associated with the recovery of Colstrip costs, and the departure of a large industrial customer in April 2026, which were partially offset by other increases in retail rates associated with our general rate cases. Natural gas revenues decreased due to decreased rates associated with the PGAs and the CCA (which do not impact net income), as well as decreased wholesale revenues, transportation revenues and an increased provision for rate refunds associated with overearnings in Washington.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Electric utility resource costs decreased primarily due to decreased fuel for generation costs partially due to the removal of Colstrip from our generation portfolio. These decreases were partially offset by a decrease in deferrals under the ERM. Natural gas utility resource costs decreased due to decreases in the amortization of costs associated with the CCA and net deferrals and amortizations of costs under PGAs, as well as a decrease in volumes of natural gas purchased.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utility operating expenses increased due primarily to increased employee salaries and benefit costs, partially offset with decreases from removing Colstrip 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Utility depreciation and amortization decreased primarily due to our transfer of Colstrip.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increased primarily due to increased pre-tax income from continuing operations (including equity method earnings) compared to the prior year.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equity method earnings were primarily the result of underlying investment appreciation recognized in the first half of 2026, compared to losses recognized in the first half of 2025. See “Note 5 of the Notes to Condensed Consolidated Financial Statements” for additional information regarding the gain recorded in the second quarter of 2026.</w:t>
      </w:r>
    </w:p>
    <w:p>
      <w:pPr>
        <w:pStyle w:val="TextBody"/>
        <w:bidi w:val="0"/>
        <w:spacing w:before="240" w:after="283"/>
        <w:jc w:val="left"/>
        <w:rPr>
          <w:rFonts w:ascii="Times New Roman" w:hAnsi="Times New Roman"/>
          <w:sz w:val="20"/>
        </w:rPr>
      </w:pPr>
      <w:bookmarkStart w:id="36" w:name="results_operations_avista_utilities"/>
      <w:bookmarkEnd w:id="36"/>
      <w:r>
        <w:rPr>
          <w:rFonts w:ascii="Times New Roman" w:hAnsi="Times New Roman"/>
          <w:b/>
          <w:color w:val="000000"/>
          <w:sz w:val="20"/>
          <w:u w:val="single"/>
        </w:rPr>
        <w:t>Results of Operations</w:t>
      </w:r>
      <w:r>
        <w:rPr>
          <w:rFonts w:ascii="Times New Roman" w:hAnsi="Times New Roman"/>
          <w:color w:val="000000"/>
          <w:sz w:val="20"/>
          <w:u w:val="single"/>
        </w:rPr>
        <w:t xml:space="preserve"> </w:t>
      </w:r>
      <w:r>
        <w:rPr>
          <w:rFonts w:ascii="Times New Roman" w:hAnsi="Times New Roman"/>
          <w:b/>
          <w:color w:val="000000"/>
          <w:sz w:val="20"/>
          <w:u w:val="single"/>
        </w:rPr>
        <w:t>- Avista Utilities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Resource Optimization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in resource optimization, which involves the selection from available energy resources to serve our load obligations and the use of these resources to capture economic value through wholesale market transactions; this is ultimately intended to lower net power and natural gas supply costs. Our resource optimization transactions can include physical sales and purchases of electric capacity and energy, fuel for electric generation, natural gas to optimize use of pipeline and storage capacity, as well as financial derivative contracts related to capacity, energy, fuel and fuel transportation. See our 2025 Form 10-K for further discussion of our optimization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typically enter into multiple transactions simultaneously to capture value. Even though these transactions are considered together when determining the net impact, they are recorded in separate items within components of utility operating revenue and resource costs and can cause fluctuations in each item. Gains and losses on financial derivative contracts are included in certain line items below (such as wholesale sales and purchases of power and natural gas, sales of fuel and other fuel costs). The ERM, PCA and PGAs are based on net supply costs and consider all transactions related to resource procurement and optimization (both physical and financial).</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Intercompany Revenues and Resource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Intracompany revenues and resource costs represent purchases and sales of natural gas between our natural gas distribution operations and our electric generation operations (as fuel for our generation plants). These transactions are eliminated in the presentation of total results for Avista Utilities and in the condensed consolidated financial statements but are included in the separate results for electric and natural gas presented below.</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June 30, 2026 compared to the three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Operating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electric operating revenues and megawatt-hour (MWh) sales for the three months ended June 30, 2026 and 2025 (dollars in millions and MWhs in thousands):</w:t>
      </w:r>
    </w:p>
    <w:p>
      <w:pPr>
        <w:pStyle w:val="TextBody"/>
        <w:bidi w:val="0"/>
        <w:spacing w:before="120" w:after="283"/>
        <w:jc w:val="center"/>
        <w:rPr/>
      </w:pPr>
      <w:r>
        <w:rPr/>
        <w:drawing>
          <wp:inline distT="0" distB="0" distL="0" distR="0">
            <wp:extent cx="6858000" cy="3095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public street and highway lighting, which is considered part of retail electric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operating revenues in the graph above include intracompany sales of $1 million for both the three months ended June 30, 2026 and 2025.</w:t>
      </w:r>
    </w:p>
    <w:p>
      <w:pPr>
        <w:pStyle w:val="TextBody"/>
        <w:bidi w:val="0"/>
        <w:spacing w:before="120" w:after="283"/>
        <w:jc w:val="center"/>
        <w:rPr/>
      </w:pPr>
      <w:r>
        <w:rPr/>
        <w:drawing>
          <wp:inline distT="0" distB="0" distL="0" distR="0">
            <wp:extent cx="6858000" cy="3095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electric operating revenues for the three months ended June 30 (dollars in millions):</w:t>
      </w:r>
    </w:p>
    <w:tbl>
      <w:tblPr>
        <w:tblW w:w="6942" w:type="dxa"/>
        <w:jc w:val="left"/>
        <w:tblInd w:w="0" w:type="dxa"/>
        <w:tblLayout w:type="fixed"/>
        <w:tblCellMar>
          <w:top w:w="28" w:type="dxa"/>
          <w:left w:w="28" w:type="dxa"/>
          <w:bottom w:w="28" w:type="dxa"/>
          <w:right w:w="28" w:type="dxa"/>
        </w:tblCellMar>
      </w:tblPr>
      <w:tblGrid>
        <w:gridCol w:w="4216"/>
        <w:gridCol w:w="146"/>
        <w:gridCol w:w="342"/>
        <w:gridCol w:w="439"/>
        <w:gridCol w:w="269"/>
        <w:gridCol w:w="236"/>
        <w:gridCol w:w="342"/>
        <w:gridCol w:w="56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Decoupling 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electric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will be surcharged to customers in future years. Negative amounts are decreases in decoupling revenue in the current year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revenues did not change materially for the second quarter of 2026 as compared to the second quarter of 2025. The primary fluctuations that occurred during the period were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 million increase in retail electric revenue due to an increase in retail rates (increased revenues by $25 million) offset by a decrease in MWhs sold (decreased revenues by $20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Retail rates increased mainly due to the effects of our general rate cases, including base rate increases associated with higher authorized power supply expenses resulting from removing Colstrip from our generation portfolio. These increases to base rates were partially offset by the removal of revenues related to recovery of Colstrip related costs other than power supply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sales volumes decreased due to a 21 percent decrease in industrial electric sales volumes, partially due to the departure of a large industrial customer in April 2026. Additionally, milder weather reduced customer usage. Residential and commercial use per customer decreased 5 percent and 3 percent, respectively.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$8 million decrease in wholesale electric revenues due to a decrease in sales volumes (decreased revenues $4 million) and a decrease in sales prices (decreased revenues $4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$4 million increase in electric decoupling revenue primarily due to increased current year surcharge deferrals associated with decreased customer usage compared to the second quarter of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natural gas operating revenues and therms delivered for the three months ended June 30, 2026 and 2025 (dollars in millions and therms in thousands):</w:t>
      </w:r>
    </w:p>
    <w:p>
      <w:pPr>
        <w:pStyle w:val="TextBody"/>
        <w:bidi w:val="0"/>
        <w:spacing w:before="120" w:after="283"/>
        <w:jc w:val="center"/>
        <w:rPr/>
      </w:pPr>
      <w:r>
        <w:rPr/>
        <w:drawing>
          <wp:inline distT="0" distB="0" distL="0" distR="0">
            <wp:extent cx="6858000" cy="3095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interruptible and industrial revenues, which are considered part of retail natural gas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operating revenues in the graph above include intracompany sales of $0 million and $1 million for the three months ended June 30, 2026 and 2025.</w:t>
      </w:r>
    </w:p>
    <w:p>
      <w:pPr>
        <w:pStyle w:val="TextBody"/>
        <w:bidi w:val="0"/>
        <w:spacing w:before="120" w:after="283"/>
        <w:jc w:val="center"/>
        <w:rPr/>
      </w:pPr>
      <w:r>
        <w:rPr/>
        <w:drawing>
          <wp:inline distT="0" distB="0" distL="0" distR="0">
            <wp:extent cx="6858000" cy="3095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natural gas operating revenues for the three months ended June 30 (dollars in millions):</w:t>
      </w:r>
    </w:p>
    <w:tbl>
      <w:tblPr>
        <w:tblW w:w="7226" w:type="dxa"/>
        <w:jc w:val="left"/>
        <w:tblInd w:w="0" w:type="dxa"/>
        <w:tblLayout w:type="fixed"/>
        <w:tblCellMar>
          <w:top w:w="28" w:type="dxa"/>
          <w:left w:w="28" w:type="dxa"/>
          <w:bottom w:w="28" w:type="dxa"/>
          <w:right w:w="28" w:type="dxa"/>
        </w:tblCellMar>
      </w:tblPr>
      <w:tblGrid>
        <w:gridCol w:w="4216"/>
        <w:gridCol w:w="146"/>
        <w:gridCol w:w="374"/>
        <w:gridCol w:w="560"/>
        <w:gridCol w:w="294"/>
        <w:gridCol w:w="258"/>
        <w:gridCol w:w="374"/>
        <w:gridCol w:w="613"/>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Decoupling 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natural gas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will be surcharged to customers in future years. Negative amounts are decreases in decoupling revenue in the current year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natural gas revenues did not change materially for the second quarter of 2026 as compared to the second quarter of 2025. The primary fluctuations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 million decrease in wholesale natural gas revenues due to a decrease in prices (decreased revenues $2 million) and a decrease in volumes (decreased revenues $1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$4 million increase in other gas revenues primarily due to the amortization of previously deferred revenues associated with the sale of CCA emissions credits. We amortize the deferred revenues as they are passed on to customers through decreases in retail rates. The increase in other revenues was offset by decreased retail revenues, resulting in no impact on net income.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Customers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Avista Utilities' average number of electric and natural gas retail customers for the three months ended June 30, 2026 and 2025:</w:t>
      </w:r>
    </w:p>
    <w:tbl>
      <w:tblPr>
        <w:tblW w:w="8047" w:type="dxa"/>
        <w:jc w:val="left"/>
        <w:tblInd w:w="0" w:type="dxa"/>
        <w:tblLayout w:type="fixed"/>
        <w:tblCellMar>
          <w:top w:w="28" w:type="dxa"/>
          <w:left w:w="28" w:type="dxa"/>
          <w:bottom w:w="28" w:type="dxa"/>
          <w:right w:w="28" w:type="dxa"/>
        </w:tblCellMar>
      </w:tblPr>
      <w:tblGrid>
        <w:gridCol w:w="2926"/>
        <w:gridCol w:w="146"/>
        <w:gridCol w:w="146"/>
        <w:gridCol w:w="781"/>
        <w:gridCol w:w="146"/>
        <w:gridCol w:w="146"/>
        <w:gridCol w:w="146"/>
        <w:gridCol w:w="781"/>
        <w:gridCol w:w="146"/>
        <w:gridCol w:w="146"/>
        <w:gridCol w:w="146"/>
        <w:gridCol w:w="781"/>
        <w:gridCol w:w="146"/>
        <w:gridCol w:w="146"/>
        <w:gridCol w:w="146"/>
        <w:gridCol w:w="78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Customers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Interruptible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street and highway lighting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retail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Resource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presents Avista Utilities' electric resource costs for the three months ended June 30, 2026 and 2025 (dollars in millions):</w:t>
      </w:r>
    </w:p>
    <w:p>
      <w:pPr>
        <w:pStyle w:val="TextBody"/>
        <w:bidi w:val="0"/>
        <w:spacing w:before="120" w:after="283"/>
        <w:jc w:val="center"/>
        <w:rPr/>
      </w:pPr>
      <w:r>
        <w:rPr/>
        <w:drawing>
          <wp:inline distT="0" distB="0" distL="0" distR="0">
            <wp:extent cx="6858000" cy="3086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0861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resource costs in the graph above include intracompany resource costs of $0 million and $1 million for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electric resource costs decreased $3 million for the second quarter of 2026 as compared to the second quarter of 2025. The primary changes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 million increase in power purchased due to an increase in the volume of power purchases (increased costs $3 million) and an increase in wholesale prices (increased costs $2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 million decrease in fuel for generation due to decreased thermal generation due to increased hydroelectric generation. Thermal generation decreased due to the removal of Colstrip from our generation portfolio, as well as major maintenance at the Coyote Springs 2 facility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$9 million increase in other electric resource costs primarily related to a decrease in deferred costs under the ERM. The decrease in deferred costs was due to an increase in authorized power supply costs primarily due to the removal of Colstrip from our generation portfolio. There were also increased costs related to our customer assistance payment programs (low-income rate assistance and demand side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quarter of 2026, we had a pre-tax expense of $6 million under the ERM in Washington compared to a pre-tax expense of $1 million in the second quarter of 2025.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presents Avista Utilities' natural gas resource costs for the three months ended June 30, 2026 and 2025 (dollars in millions):</w:t>
      </w:r>
    </w:p>
    <w:p>
      <w:pPr>
        <w:pStyle w:val="TextBody"/>
        <w:bidi w:val="0"/>
        <w:spacing w:before="120" w:after="283"/>
        <w:jc w:val="center"/>
        <w:rPr/>
      </w:pPr>
      <w:r>
        <w:rPr/>
        <w:drawing>
          <wp:inline distT="0" distB="0" distL="0" distR="0">
            <wp:extent cx="6858000" cy="3086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0861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resource costs in the graph above include intracompany resource costs of $1 million for both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natural gas resource costs decreased $2 million for the second quarter of 2026 as compared to the second quarter of 2025 due to a $2 million decrease in natural gas purchased from a decrease in volumes, consistent with a decrease in retail and wholesale sales volumes.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June 30, 2026 compared to the six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Operating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electric operating revenues and megawatt-hour (MWh) sales for the six months ended June 30, 2026 and 2025 (dollars in millions and MWhs in thousands):</w:t>
      </w:r>
    </w:p>
    <w:p>
      <w:pPr>
        <w:pStyle w:val="TextBody"/>
        <w:bidi w:val="0"/>
        <w:spacing w:before="120" w:after="283"/>
        <w:jc w:val="center"/>
        <w:rPr/>
      </w:pPr>
      <w:r>
        <w:rPr/>
        <w:drawing>
          <wp:inline distT="0" distB="0" distL="0" distR="0">
            <wp:extent cx="6858000" cy="3095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public street and highway lighting, which is considered part of retail electric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operating revenues in the graph above include intracompany sales of $1 million for both the six months ended June 30, 2026 and 2025.</w:t>
      </w:r>
    </w:p>
    <w:p>
      <w:pPr>
        <w:pStyle w:val="TextBody"/>
        <w:bidi w:val="0"/>
        <w:spacing w:before="120" w:after="283"/>
        <w:jc w:val="center"/>
        <w:rPr/>
      </w:pPr>
      <w:r>
        <w:rPr/>
        <w:drawing>
          <wp:inline distT="0" distB="0" distL="0" distR="0">
            <wp:extent cx="6858000" cy="3095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electric operating revenues for the six months ended June 30 (dollars in millions):</w:t>
      </w:r>
    </w:p>
    <w:tbl>
      <w:tblPr>
        <w:tblW w:w="6942" w:type="dxa"/>
        <w:jc w:val="left"/>
        <w:tblInd w:w="0" w:type="dxa"/>
        <w:tblLayout w:type="fixed"/>
        <w:tblCellMar>
          <w:top w:w="28" w:type="dxa"/>
          <w:left w:w="28" w:type="dxa"/>
          <w:bottom w:w="28" w:type="dxa"/>
          <w:right w:w="28" w:type="dxa"/>
        </w:tblCellMar>
      </w:tblPr>
      <w:tblGrid>
        <w:gridCol w:w="4216"/>
        <w:gridCol w:w="146"/>
        <w:gridCol w:w="331"/>
        <w:gridCol w:w="495"/>
        <w:gridCol w:w="260"/>
        <w:gridCol w:w="229"/>
        <w:gridCol w:w="331"/>
        <w:gridCol w:w="543"/>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Decoupling 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electric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due to lower customer usage and will be surcharged to customers in future years. Negative amounts are decreases in decoupling revenue in the current year due to higher customer usage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due to higher customer usage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due to lower customer usage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revenues decreased $17 million for the first half of 2026 as compared to the first half of 2025. The primary changes that occurred during the period were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 million decrease in retail electric revenue due to a decrease in MWhs sold (decreased revenues by $42 million), offset by an increase in retail rates (increased revenues by $41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Retail rates increased mainly due to the effects of our general rate cases, including base rate increases associated with higher authorized power supply expenses resulting from removing Colstrip from our generation portfolio. These increases to base rates were partially offset by the removal of revenues related to recovery of Colstrip related costs other than power supply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sales volumes decreased due to a 12 percent decrease in industrial electric sales volumes, partially due to the departure of a large industrial customer in April 2026. Additionally, milder weather led to reduced customer usage. Residential and commercial use per customer decreased 8 percent and 4 percent, respectively. Heating degree days in Spokane were 87 percent of the historical average during the first half of 2026, while they were 94 percent of the historical average during the first half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$34 million decrease in wholesale electric revenues due to a decrease in sales prices (decreased revenues $29 million) and a decrease in sales volumes (decreased revenues $5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$18 million increase in electric decoupling revenue primarily due to current year surcharge deferrals associated with decreased customer usage compared to rebate deferrals in the first half of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natural gas operating revenues and therms delivered for the six months ended June 30, 2026 and 2025 (dollars in millions and therms in thousands):</w:t>
      </w:r>
    </w:p>
    <w:p>
      <w:pPr>
        <w:pStyle w:val="TextBody"/>
        <w:bidi w:val="0"/>
        <w:spacing w:before="120" w:after="283"/>
        <w:jc w:val="center"/>
        <w:rPr/>
      </w:pPr>
      <w:r>
        <w:rPr/>
        <w:drawing>
          <wp:inline distT="0" distB="0" distL="0" distR="0">
            <wp:extent cx="6858000" cy="3095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interruptible and industrial revenues, which are considered part of retail natural gas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operating revenues in the graph above include intracompany sales of $1 million and $4 million for the six months ended June 30, 2026 and 2025, respectively.</w:t>
      </w:r>
    </w:p>
    <w:p>
      <w:pPr>
        <w:pStyle w:val="TextBody"/>
        <w:bidi w:val="0"/>
        <w:spacing w:before="120" w:after="283"/>
        <w:jc w:val="center"/>
        <w:rPr/>
      </w:pPr>
      <w:r>
        <w:rPr/>
        <w:drawing>
          <wp:inline distT="0" distB="0" distL="0" distR="0">
            <wp:extent cx="6858000" cy="3095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natural gas operating revenues for the six months ended June 30 (dollars in millions):</w:t>
      </w:r>
    </w:p>
    <w:tbl>
      <w:tblPr>
        <w:tblW w:w="7245" w:type="dxa"/>
        <w:jc w:val="left"/>
        <w:tblInd w:w="0" w:type="dxa"/>
        <w:tblLayout w:type="fixed"/>
        <w:tblCellMar>
          <w:top w:w="28" w:type="dxa"/>
          <w:left w:w="28" w:type="dxa"/>
          <w:bottom w:w="28" w:type="dxa"/>
          <w:right w:w="28" w:type="dxa"/>
        </w:tblCellMar>
      </w:tblPr>
      <w:tblGrid>
        <w:gridCol w:w="4216"/>
        <w:gridCol w:w="146"/>
        <w:gridCol w:w="382"/>
        <w:gridCol w:w="572"/>
        <w:gridCol w:w="300"/>
        <w:gridCol w:w="264"/>
        <w:gridCol w:w="382"/>
        <w:gridCol w:w="572"/>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Decoupling Revenues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natural gas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due to lower customer usage and will be surcharged to customers in future years. Negative amounts are decreases in decoupling revenue in the current year due to higher customer usage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due to higher customer usage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due to lower customer usage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natural gas revenues decreased $34 million for the first half of 2026 as compared to the first half of 2025. The primary changes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$50 million decrease in natural gas retail revenues (including industrial, which is included in other) due to a decrease in retail rates (decreased revenues $26 million) and decreased sales volumes (decreased revenues $24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Retail rates decreased mainly due to PGA rate decreases and rebates to Washington customers for revenues related to the sale of CCA emissions credits, neither of which impact net income. These decreases were partially offset by increases to base rates resulting from our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sales volumes decreased due to milder weather, which reduced customer usage. Residential and commercial use per customer each decreased 12 percent. Heating degree days in Spokane were 87 percent of the historical average during the first half of 2026, while they were 94 percent of the historical average in the first half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$11 million decrease in wholesale natural gas revenues due to a decrease in prices (decreased revenues $8 million) and a decrease in volumes (decreased revenues $3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$16 million increase in natural gas decoupling revenues primarily due to increased surcharge deferrals in the current year associated with lower customer usage.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$11 million increase in other gas revenues primarily due to the amortization of previously deferred revenues associated with the sale of CCA emissions credits. We amortize the deferred revenues as they are passed on to customers through decreases in retail rates. The increase in other revenues was offset by decreased retail rates as discussed above, resulting in no impact on net income. This increase was partially offset by a decrease in transportation revenue, as well as a provision for rate refunds associated with overearnings in Washington recorded in the first half of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Customers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Avista Utilities' average number of electric and natural gas retail customers for the six months ended June 30, 2026 and 2025:</w:t>
      </w:r>
    </w:p>
    <w:tbl>
      <w:tblPr>
        <w:tblW w:w="8047" w:type="dxa"/>
        <w:jc w:val="left"/>
        <w:tblInd w:w="0" w:type="dxa"/>
        <w:tblLayout w:type="fixed"/>
        <w:tblCellMar>
          <w:top w:w="28" w:type="dxa"/>
          <w:left w:w="28" w:type="dxa"/>
          <w:bottom w:w="28" w:type="dxa"/>
          <w:right w:w="28" w:type="dxa"/>
        </w:tblCellMar>
      </w:tblPr>
      <w:tblGrid>
        <w:gridCol w:w="2926"/>
        <w:gridCol w:w="146"/>
        <w:gridCol w:w="146"/>
        <w:gridCol w:w="781"/>
        <w:gridCol w:w="146"/>
        <w:gridCol w:w="146"/>
        <w:gridCol w:w="146"/>
        <w:gridCol w:w="781"/>
        <w:gridCol w:w="146"/>
        <w:gridCol w:w="146"/>
        <w:gridCol w:w="146"/>
        <w:gridCol w:w="781"/>
        <w:gridCol w:w="146"/>
        <w:gridCol w:w="146"/>
        <w:gridCol w:w="146"/>
        <w:gridCol w:w="78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Customers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Interruptible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street and highway lighting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retail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Utility Resource Costs</w:t>
      </w:r>
    </w:p>
    <w:p>
      <w:pPr>
        <w:pStyle w:val="TextBody"/>
        <w:bidi w:val="0"/>
        <w:jc w:val="left"/>
        <w:rPr>
          <w:rFonts w:ascii="Times New Roman" w:hAnsi="Times New Roman"/>
          <w:color w:val="000000"/>
          <w:sz w:val="20"/>
        </w:rPr>
      </w:pPr>
      <w:r>
        <w:rPr>
          <w:rFonts w:ascii="Times New Roman" w:hAnsi="Times New Roman"/>
          <w:color w:val="000000"/>
          <w:sz w:val="20"/>
        </w:rPr>
        <w:t>The following graph presents Avista Utilities' electric resource costs for the six months ended June 30, 2026 and 2025 (dollars in millions):</w:t>
      </w:r>
    </w:p>
    <w:p>
      <w:pPr>
        <w:pStyle w:val="TextBody"/>
        <w:bidi w:val="0"/>
        <w:spacing w:before="120" w:after="283"/>
        <w:jc w:val="center"/>
        <w:rPr/>
      </w:pPr>
      <w:r>
        <w:rPr/>
        <w:drawing>
          <wp:inline distT="0" distB="0" distL="0" distR="0">
            <wp:extent cx="6858000" cy="3095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resource costs in the graph above include intracompany resource costs of $1 million and $4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electric resource costs decreased $17 million for the first half of 2026 as compared to the first half of 2025. The primary changes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 million decrease in power purchased due to a decrease in wholesale prices (decreased costs $6 million), partially offset by an increase in the volume of power purchases (increased costs $4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$37 million decrease in fuel for generation due to decreased thermal generation due to increased hydroelectric generation. Thermal generation decreased due to the removal of Colstrip from our generation portfolio, as well as major maintenance at the Coyote Springs 2 facility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$22 million increase in other electric resource costs primarily related to a decrease in deferred costs under the ERM. The decrease in deferred costs was due to an increase in authorized power supply costs primarily due to the removal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Colstrip from our generation portfolio. There were also increased costs related to our customer assistance payment programs (low-income rate assistance and demand side management).</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half of 2026, we had a pre-tax expense of $7 million under the ERM in Washington compared to a pre-tax expense of $9 million in the first half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presents Avista Utilities' natural gas resource costs for the six months ended June 30, 2026 and 2025 (dollars in millions):</w:t>
      </w:r>
    </w:p>
    <w:p>
      <w:pPr>
        <w:pStyle w:val="TextBody"/>
        <w:bidi w:val="0"/>
        <w:spacing w:before="120" w:after="283"/>
        <w:jc w:val="center"/>
        <w:rPr/>
      </w:pPr>
      <w:r>
        <w:rPr/>
        <w:drawing>
          <wp:inline distT="0" distB="0" distL="0" distR="0">
            <wp:extent cx="6858000" cy="3095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resource costs in the graph above include intracompany resource costs of $1 million for both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resource costs decreased $40 million for the first half of 2026 as compared to the first half of 2025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$12 million decrease in natural gas purchased due to a decrease in the volumes purchased.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$28 million decrease in other costs primarily related to a decrease in the amortization of costs associated with the CCA that were recovered from customers, resulting in no impact on net income, as well as a decrease in net deferrals and amortizations of previously deferred costs under our PGAs. </w:t>
      </w:r>
    </w:p>
    <w:p>
      <w:pPr>
        <w:pStyle w:val="TextBody"/>
        <w:bidi w:val="0"/>
        <w:spacing w:before="240" w:after="283"/>
        <w:jc w:val="left"/>
        <w:rPr>
          <w:rFonts w:ascii="Times New Roman" w:hAnsi="Times New Roman"/>
          <w:b/>
          <w:color w:val="000000"/>
          <w:sz w:val="20"/>
          <w:u w:val="single"/>
        </w:rPr>
      </w:pPr>
      <w:bookmarkStart w:id="37" w:name="results_operations_alaska_electric_light"/>
      <w:bookmarkEnd w:id="37"/>
      <w:r>
        <w:rPr>
          <w:rFonts w:ascii="Times New Roman" w:hAnsi="Times New Roman"/>
          <w:b/>
          <w:color w:val="000000"/>
          <w:sz w:val="20"/>
          <w:u w:val="single"/>
        </w:rPr>
        <w:t>Results of Operations - Alaska Electric Light and Power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for AEL&amp;P was $1 million for both the second quarter of 2026 and 2025. For the first half of 2026 and 2025, net income for AEL&amp;P was $5 million and $4 million, respectively. </w:t>
      </w:r>
    </w:p>
    <w:p>
      <w:pPr>
        <w:pStyle w:val="TextBody"/>
        <w:bidi w:val="0"/>
        <w:spacing w:before="120" w:after="283"/>
        <w:jc w:val="left"/>
        <w:rPr>
          <w:rFonts w:ascii="Times New Roman" w:hAnsi="Times New Roman"/>
          <w:b/>
          <w:color w:val="000000"/>
          <w:sz w:val="20"/>
          <w:u w:val="single"/>
        </w:rPr>
      </w:pPr>
      <w:bookmarkStart w:id="38" w:name="results_of_operations_other_businesses"/>
      <w:bookmarkEnd w:id="38"/>
      <w:r>
        <w:rPr>
          <w:rFonts w:ascii="Times New Roman" w:hAnsi="Times New Roman"/>
          <w:b/>
          <w:color w:val="000000"/>
          <w:sz w:val="20"/>
          <w:u w:val="single"/>
        </w:rPr>
        <w:t>Results of Operations - Other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other businesses had net income of $12 million for the three months ended June 30, 2026 compared to a net loss of $10 million for the three months ended June 30, 2025. For the first half of 2026, net income at our other businesses was $13 million compared to a net loss of $12 million for the first half of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fluctuation in results is primarily related to recognizing our portion of earnings at our equity method investments, compared to losses in the first quarter of 2025. See “Note 5 of the Notes to Condensed Consolidated Financial Statements” for additional information regarding our equity method investments. </w:t>
      </w:r>
    </w:p>
    <w:p>
      <w:pPr>
        <w:pStyle w:val="TextBody"/>
        <w:bidi w:val="0"/>
        <w:spacing w:before="240" w:after="283"/>
        <w:jc w:val="left"/>
        <w:rPr>
          <w:rFonts w:ascii="Times New Roman" w:hAnsi="Times New Roman"/>
          <w:b/>
          <w:color w:val="000000"/>
          <w:sz w:val="20"/>
          <w:u w:val="single"/>
        </w:rPr>
      </w:pPr>
      <w:bookmarkStart w:id="39" w:name="critical_accounting_policies"/>
      <w:bookmarkEnd w:id="39"/>
      <w:r>
        <w:rPr>
          <w:rFonts w:ascii="Times New Roman" w:hAnsi="Times New Roman"/>
          <w:b/>
          <w:color w:val="000000"/>
          <w:sz w:val="20"/>
          <w:u w:val="single"/>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us to make estimates and assumptions that affect amounts reported in the condensed consolidated financial statements. Changes in these estimates and assumptions are considered reasonably possible and may have a material effect on our condensed consolidated financial statements and thus, actual results could differ from the amounts reported and disclosed herein. Our critical accounting policies that require the use of estimates and assumptions were discussed in detail in the 2025 Form 10-K and have not changed materially.</w:t>
      </w:r>
    </w:p>
    <w:p>
      <w:pPr>
        <w:pStyle w:val="TextBody"/>
        <w:bidi w:val="0"/>
        <w:spacing w:before="240" w:after="283"/>
        <w:jc w:val="left"/>
        <w:rPr>
          <w:rFonts w:ascii="Times New Roman" w:hAnsi="Times New Roman"/>
          <w:b/>
          <w:color w:val="000000"/>
          <w:sz w:val="20"/>
          <w:u w:val="single"/>
        </w:rPr>
      </w:pPr>
      <w:bookmarkStart w:id="40" w:name="liquidity_and_capital_resources"/>
      <w:bookmarkEnd w:id="40"/>
      <w:r>
        <w:rPr>
          <w:rFonts w:ascii="Times New Roman" w:hAnsi="Times New Roman"/>
          <w:b/>
          <w:color w:val="000000"/>
          <w:sz w:val="20"/>
          <w:u w:val="single"/>
        </w:rPr>
        <w:t>Liquidity and Capital Resources</w:t>
      </w:r>
    </w:p>
    <w:p>
      <w:pPr>
        <w:pStyle w:val="TextBody"/>
        <w:bidi w:val="0"/>
        <w:spacing w:before="120" w:after="283"/>
        <w:jc w:val="left"/>
        <w:rPr>
          <w:rFonts w:ascii="Times New Roman" w:hAnsi="Times New Roman"/>
          <w:b/>
          <w:color w:val="000000"/>
          <w:sz w:val="20"/>
          <w:u w:val="single"/>
        </w:rPr>
      </w:pPr>
      <w:bookmarkStart w:id="41" w:name="overall_liquidity"/>
      <w:bookmarkEnd w:id="41"/>
      <w:r>
        <w:rPr>
          <w:rFonts w:ascii="Times New Roman" w:hAnsi="Times New Roman"/>
          <w:b/>
          <w:color w:val="000000"/>
          <w:sz w:val="20"/>
          <w:u w:val="single"/>
        </w:rPr>
        <w:t>Overall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sources of overall liquidity and the requirements for liquidity have not materially changed in the six months ended June 30, 2026, with the exception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increased regulatory deferrals (such as decoupling surcharges and ERM costs), as well as delayed recovery of deferrals. As such, we are evaluating the need for up to $100 million of additional short-term liquidity by the end of the fourth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2025 Form 10-K for further discussion of our liquidity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$199 million of available liquidity under the Avista Corp. committed line of credit, $59 million of available liquidity under our letter of credit facility, and $25 million under the AEL&amp;P committed line of credit. With our existing credit facilities and the expected issuances of common stock, long-term debt and contemplated short-term loan within the next year, we believe we have adequate liquidity to meet our needs for the next 12 months.</w:t>
      </w:r>
    </w:p>
    <w:p>
      <w:pPr>
        <w:pStyle w:val="TextBody"/>
        <w:bidi w:val="0"/>
        <w:spacing w:before="120" w:after="283"/>
        <w:jc w:val="left"/>
        <w:rPr>
          <w:rFonts w:ascii="Times New Roman" w:hAnsi="Times New Roman"/>
          <w:b/>
          <w:color w:val="000000"/>
          <w:sz w:val="20"/>
          <w:u w:val="single"/>
        </w:rPr>
      </w:pPr>
      <w:bookmarkStart w:id="42" w:name="review_of_cash_flow_statement"/>
      <w:bookmarkEnd w:id="42"/>
      <w:r>
        <w:rPr>
          <w:rFonts w:ascii="Times New Roman" w:hAnsi="Times New Roman"/>
          <w:b/>
          <w:color w:val="000000"/>
          <w:sz w:val="20"/>
          <w:u w:val="single"/>
        </w:rPr>
        <w:t>Review of Condensed Consolidated Cash Flow Statement</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$301 million for the six months ended June 30, 2026, compared to $224 million for the six months ended June 30, 2025. Net income increased $33 million; however, the majority of the increase was related to non-cash realized and unrealized gains on investments, compared to losses in the first half of 2025. The change in other current assets increased operating cash flows by $43 million compared to the prior year, and is primarily associated with increases to prepaid insurance proceeds receivable and prepayments in the first half of 2025. The change in accounts receivable also increased operating cash flows by $34 million, and the change in income taxes receivable increased operating cash flows by $26 million, primarily resulting from a refund received in the first half of 2026. These increases were partially offset by a larger portion of our revenues being from decoupling surcharges in the first half of 2026, which will be recovered from customers in future periods.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$334 million for the six months ended June 30, 2026, compared to $248 million for the six months ended June 30, 2025. We paid $326 million for utility capital expenditures in 2026, compared to $246 million in 2025.</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$39 million for the six months ended June 30, 2026, compared to $3 million for the six months ended June 30, 2025. We issued $160 million of long-term debt in the first half of 2026, with no long-term debt issuances in the first half of 2025. In the first half of 2026, we repaid $92 million in short term borrowings, compared to increasing our borrowings $51 million in the first half of 2025. We issued $58 million of common stock and paid $82 million in dividends in the six months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ended June 30, 2026, compared to issuing $35 million of common stock and paying $79 million in dividends in the six months ended June 30, 2025. </w:t>
      </w:r>
    </w:p>
    <w:p>
      <w:pPr>
        <w:pStyle w:val="TextBody"/>
        <w:bidi w:val="0"/>
        <w:spacing w:before="120" w:after="283"/>
        <w:jc w:val="left"/>
        <w:rPr>
          <w:rFonts w:ascii="Times New Roman" w:hAnsi="Times New Roman"/>
          <w:b/>
          <w:color w:val="000000"/>
          <w:sz w:val="20"/>
          <w:u w:val="single"/>
        </w:rPr>
      </w:pPr>
      <w:bookmarkStart w:id="43" w:name="capital_resources"/>
      <w:bookmarkEnd w:id="43"/>
      <w:r>
        <w:rPr>
          <w:rFonts w:ascii="Times New Roman" w:hAnsi="Times New Roman"/>
          <w:b/>
          <w:color w:val="000000"/>
          <w:sz w:val="20"/>
          <w:u w:val="single"/>
        </w:rPr>
        <w:t>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Capital Structure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consolidated capital structure, including the current portion of long-term debt and short-term borrowings consisted of the following as of June 30, 2026 and December 31, 2025 (dollars in millions):</w:t>
      </w:r>
    </w:p>
    <w:tbl>
      <w:tblPr>
        <w:tblW w:w="8242" w:type="dxa"/>
        <w:jc w:val="left"/>
        <w:tblInd w:w="0" w:type="dxa"/>
        <w:tblLayout w:type="fixed"/>
        <w:tblCellMar>
          <w:top w:w="28" w:type="dxa"/>
          <w:left w:w="28" w:type="dxa"/>
          <w:bottom w:w="28" w:type="dxa"/>
          <w:right w:w="28" w:type="dxa"/>
        </w:tblCellMar>
      </w:tblPr>
      <w:tblGrid>
        <w:gridCol w:w="3706"/>
        <w:gridCol w:w="146"/>
        <w:gridCol w:w="211"/>
        <w:gridCol w:w="571"/>
        <w:gridCol w:w="146"/>
        <w:gridCol w:w="146"/>
        <w:gridCol w:w="146"/>
        <w:gridCol w:w="571"/>
        <w:gridCol w:w="271"/>
        <w:gridCol w:w="146"/>
        <w:gridCol w:w="211"/>
        <w:gridCol w:w="571"/>
        <w:gridCol w:w="146"/>
        <w:gridCol w:w="146"/>
        <w:gridCol w:w="146"/>
        <w:gridCol w:w="571"/>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of 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 and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shareholders’ equity increased $112 million during the first half of 2026 primarily due to net income and the issuance of common stock, which was partially offset by dividends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10 of the Notes to Condensed Consolidated Financial Statements” for additional information regarding long-term debt and “Note 13 of the Notes to Condensed Consolidated Financial Statements” for additional information regarding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Short Term Borrowings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Avista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Corp. has a committed line of credit with various financial institutions in the total amount of $500 million with an expiration date of June 2029. We may request that the lenders extend their commitments for an additional one-year period (subject to customary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have a continuing letter of credit agreement in the aggregate amount of $65 million, which was increased from $50 million in June 2026. Either party may terminate the agreement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balances outstanding and available liquidity as of June 30, 2026 (dollars in millions): </w:t>
      </w:r>
    </w:p>
    <w:tbl>
      <w:tblPr>
        <w:tblW w:w="10205" w:type="dxa"/>
        <w:jc w:val="left"/>
        <w:tblInd w:w="0" w:type="dxa"/>
        <w:tblLayout w:type="fixed"/>
        <w:tblCellMar>
          <w:top w:w="28" w:type="dxa"/>
          <w:left w:w="28" w:type="dxa"/>
          <w:bottom w:w="28" w:type="dxa"/>
          <w:right w:w="28" w:type="dxa"/>
        </w:tblCellMar>
      </w:tblPr>
      <w:tblGrid>
        <w:gridCol w:w="2425"/>
        <w:gridCol w:w="346"/>
        <w:gridCol w:w="415"/>
        <w:gridCol w:w="832"/>
        <w:gridCol w:w="146"/>
        <w:gridCol w:w="146"/>
        <w:gridCol w:w="596"/>
        <w:gridCol w:w="1196"/>
        <w:gridCol w:w="146"/>
        <w:gridCol w:w="146"/>
        <w:gridCol w:w="812"/>
        <w:gridCol w:w="1221"/>
        <w:gridCol w:w="146"/>
        <w:gridCol w:w="146"/>
        <w:gridCol w:w="429"/>
        <w:gridCol w:w="862"/>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of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Borrowings Outstanding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Letters of Credit Outstanding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Available Liquidity</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 of Credit expiring June 2029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Letter of Credit Facility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was $296 million outstanding under the committed line of credit; however, $226 million was classified as short-term borrowings and $70 million was classified as long-term on the Condensed Consolidated Balance Sheet due to the Company's intention to refinance such amount on a long-term basis. The amount classified as long-term debt will be refinanced through the issuance and sale of first mortgage bonds in August 2026, pursuant to a bond purchase agreement entered into in May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Letters of credit are not reflected on the Condensed Consolidated Balance Sheets. If a letter of credit were drawn upon by the holder, we would have an immediate obligation to reimburse the bank that issued that letter.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Avista Corp. credit facilities contain customary covenant and default provisions, including a change in control (as defined in the agreements). The events of default under each of the credit facilities also include a cross default from other indebtedness (as defined) and, in the case of the letter of credit agreement, other obligations. The committed line of credit agreement also includes a covenant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which does not permit our ratio of “consolidated total debt” to “consolidated total capitalization” to be greater than 65 percent at any time. As of June 30, 2026, we complied with this covenant with a ratio of 54.4 percent.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Balances outstanding and interest rates of borrowings (excluding letters of credit) under Avista Corp.'s lines of credit were as follows as of and for the six months ended June 30 (dollars in millions):</w:t>
      </w:r>
    </w:p>
    <w:tbl>
      <w:tblPr>
        <w:tblW w:w="6744" w:type="dxa"/>
        <w:jc w:val="left"/>
        <w:tblInd w:w="0" w:type="dxa"/>
        <w:tblLayout w:type="fixed"/>
        <w:tblCellMar>
          <w:top w:w="28" w:type="dxa"/>
          <w:left w:w="28" w:type="dxa"/>
          <w:bottom w:w="28" w:type="dxa"/>
          <w:right w:w="28" w:type="dxa"/>
        </w:tblCellMar>
      </w:tblPr>
      <w:tblGrid>
        <w:gridCol w:w="4311"/>
        <w:gridCol w:w="146"/>
        <w:gridCol w:w="211"/>
        <w:gridCol w:w="466"/>
        <w:gridCol w:w="271"/>
        <w:gridCol w:w="146"/>
        <w:gridCol w:w="211"/>
        <w:gridCol w:w="466"/>
        <w:gridCol w:w="516"/>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$500 million line of credit, expiring June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Maximum balance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balance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interest rate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interest rate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AEL&amp;P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AEL&amp;P has a $25 million committed line of credit that expires in June 2028. As of June 30, 2026, there was no balance outstanding under this committed line of credit, and $25 million of available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AEL&amp;P credit facility contains customary covenants and default provisions including a covenant which does not permit the ratio of “consolidated total debt at AEL&amp;P” to “consolidated total capitalization at AEL&amp;P” (including the impact of the Snettisham obligation) to be greater than 67.5 percent at any time. As of June 30, 2026, AEL&amp;P complied with this covenant with a ratio of 48.3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Avista Corp. and its subsidiaries complied with all of the covenants of their financing agreements, and none of Avista Corp.'s subsidiaries constituted a “significant subsidiary” as defined in Avista Corp.'s committed 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9 of the Notes to Condensed Consolidated Financial Statements” for additional information regarding our short-term borrowing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2026, we expect to issue $230 million of long-term debt, including the $160 million issued through June 30, 2026. We expect to issue $90 million of common stock in 2026 (including $58 million issued through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evaluating the need for up to $100 million of additional short-term liquidity by the end of the fourth quarter of 2026. See further discussion of liquidity requirements in “Overall Liquidity” above.</w:t>
      </w:r>
    </w:p>
    <w:p>
      <w:pPr>
        <w:pStyle w:val="TextBody"/>
        <w:bidi w:val="0"/>
        <w:spacing w:before="120" w:after="283"/>
        <w:jc w:val="left"/>
        <w:rPr>
          <w:rFonts w:ascii="Times New Roman" w:hAnsi="Times New Roman"/>
          <w:b/>
          <w:color w:val="000000"/>
          <w:sz w:val="20"/>
          <w:u w:val="single"/>
        </w:rPr>
      </w:pPr>
      <w:bookmarkStart w:id="44" w:name="capital_expenditures"/>
      <w:bookmarkEnd w:id="44"/>
      <w:r>
        <w:rPr>
          <w:rFonts w:ascii="Times New Roman" w:hAnsi="Times New Roman"/>
          <w:b/>
          <w:color w:val="000000"/>
          <w:sz w:val="20"/>
          <w:u w:val="single"/>
        </w:rPr>
        <w:t>Capital Expenditures and Other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making capital investments to enhance service and system reliability for our customers and replace aging infrastructure, and expect base Avista Utilities' capital expenditures of the following (dollars in millions):</w:t>
      </w:r>
    </w:p>
    <w:tbl>
      <w:tblPr>
        <w:tblW w:w="8397" w:type="dxa"/>
        <w:jc w:val="left"/>
        <w:tblInd w:w="0" w:type="dxa"/>
        <w:tblLayout w:type="fixed"/>
        <w:tblCellMar>
          <w:top w:w="28" w:type="dxa"/>
          <w:left w:w="28" w:type="dxa"/>
          <w:bottom w:w="28" w:type="dxa"/>
          <w:right w:w="28" w:type="dxa"/>
        </w:tblCellMar>
      </w:tblPr>
      <w:tblGrid>
        <w:gridCol w:w="358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46"/>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base annual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planned capital expenditures are subject to continuing review and adjustment. These estimates include expenditures for new projects identified through our 2025 request for proposal process. However, these estimates do not include potential expenditures that could result from integrating a new large load customer, incremental transmission projects like regional grid expansion, or additional generation. See the 2025 Form 10-K for further information on our expected capital expenditures.</w:t>
      </w:r>
    </w:p>
    <w:p>
      <w:pPr>
        <w:pStyle w:val="TextBody"/>
        <w:bidi w:val="0"/>
        <w:spacing w:before="120" w:after="283"/>
        <w:jc w:val="left"/>
        <w:rPr>
          <w:rFonts w:ascii="Times New Roman" w:hAnsi="Times New Roman"/>
          <w:b/>
          <w:color w:val="000000"/>
          <w:sz w:val="20"/>
          <w:u w:val="single"/>
        </w:rPr>
      </w:pPr>
      <w:bookmarkStart w:id="45" w:name="pension_plan"/>
      <w:bookmarkEnd w:id="45"/>
      <w:r>
        <w:rPr>
          <w:rFonts w:ascii="Times New Roman" w:hAnsi="Times New Roman"/>
          <w:b/>
          <w:color w:val="000000"/>
          <w:sz w:val="20"/>
          <w:u w:val="single"/>
        </w:rPr>
        <w:t>Pension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2026, we contributed $7 million to the pension plan and we expect contributions to total $10 million in 2026. We expect to contribute a total of $40 million to the pension plan in the period 2027 through 2030, with an annual contribution of $10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determination of pension plan contributions for future periods is subject to multiple variables, most of which are beyond our control, including changes to the fair value of pension plan assets, changes in actuarial assumptions (in particular, the discount rate used in determining the benefit obligation), or changes in federal legislation. We may change our pension plan contributions in the future depending on changes to any variables, including those listed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7 of the Notes to Condensed Consolidated Financial Statements" for additional information regarding the pension plan.</w:t>
      </w:r>
    </w:p>
    <w:p>
      <w:pPr>
        <w:pStyle w:val="TextBody"/>
        <w:bidi w:val="0"/>
        <w:spacing w:before="240" w:after="283"/>
        <w:jc w:val="left"/>
        <w:rPr>
          <w:rFonts w:ascii="Times New Roman" w:hAnsi="Times New Roman"/>
          <w:b/>
          <w:color w:val="000000"/>
          <w:sz w:val="20"/>
          <w:u w:val="single"/>
        </w:rPr>
      </w:pPr>
      <w:bookmarkStart w:id="46" w:name="environmental_issues_and_contingencies"/>
      <w:bookmarkEnd w:id="46"/>
      <w:r>
        <w:rPr>
          <w:rFonts w:ascii="Times New Roman" w:hAnsi="Times New Roman"/>
          <w:b/>
          <w:color w:val="000000"/>
          <w:sz w:val="20"/>
          <w:u w:val="single"/>
        </w:rPr>
        <w:t>Environmental Issues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environmental issues and contingencies disclosures have not materially changed during the six months ended June 30, 2026 except as follows: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Presidential Executive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16, 2026, the President of the U.S. issued an Executive Order entitled “Removing Regulatory Barriers to Affordable Home Construction,” with the stated objective of increasing housing supply and affordability by reducing federal, state and local regulatory requirements that the Administration views as increasing construction costs and slowing development. Among other things, the Executive Order directs various federal agencies to incentivize state and local governments to eliminate mandatory green or energy-efficient building codes, review and potentially eliminate “unduly burdensome or costly” federal energy efficiency requirements, revise permitting rules relating to stormwater, wetlands and water pollution controls, and shorten environmental review timelines for housing projects.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20, 2026, the President of the U.S. issued several Executive Orders invoking authority under the Defense Production Act of 1950 (DPA) to (a) designate oil production and storage, coal and natural gas related power generation activities, electric facilities and supply chains, and large scale energy and energy-related infrastructure as critical resources under the DPA and (b) authorize the Department of Energy to use its authority under the DPA to expand and accelerate domestic capacity in each of these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the extent to which potential changes from these Executive Orders may affect our financial results and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Oregon Legislation and Regulatory 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Climate Protection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Oregon Governor Kate Brown issued Executive Order No. 20-04, “Directing State Agencies to Take Actions to Reduce and Regulate Greenhouse Gas Emissions.” The Executive Order launched rulemaking proceedings for Oregon agencies with jurisdiction over GHG-related matters, with the aim of reducing Oregon’s overall GHG emissions to 80 percent below 1990 levels by 2050. This Executive Order led to the Oregon Department of Environmental Quality (ODEQ) developing cap and reduce rules known as the CPP. The CPP originally became effective in January 2022, but was subsequently challenged and declared invalid on procedural grounds. Thereafter, the ODEQ reissued the CPP in November 2024 with updated compliance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approximately 30 parties, consisting of businesses, utilities, trade associations and unions, filed a Petition challenging the repromulgated version of the CPP. Avista Corp. is a party to the litigation, which remains 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2025 Form 10-K for further discussion of our environmental issues and contingencies.</w:t>
      </w:r>
    </w:p>
    <w:p>
      <w:pPr>
        <w:pStyle w:val="TextBody"/>
        <w:bidi w:val="0"/>
        <w:spacing w:before="240" w:after="283"/>
        <w:jc w:val="left"/>
        <w:rPr>
          <w:rFonts w:ascii="Times New Roman" w:hAnsi="Times New Roman"/>
          <w:b/>
          <w:color w:val="000000"/>
          <w:sz w:val="20"/>
          <w:u w:val="single"/>
        </w:rPr>
      </w:pPr>
      <w:bookmarkStart w:id="47" w:name="enterprise_risk_management"/>
      <w:bookmarkEnd w:id="47"/>
      <w:r>
        <w:rPr>
          <w:rFonts w:ascii="Times New Roman" w:hAnsi="Times New Roman"/>
          <w:b/>
          <w:color w:val="000000"/>
          <w:sz w:val="20"/>
          <w:u w:val="single"/>
        </w:rPr>
        <w:t>Enterprise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risks to our businesses, and our mitigation process and procedures to address these risks, were discussed in our 2025 Form 10-K and have not materially changed during the six months ended June 30, 2026. See the 2025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risks have not materially changed during the six months ended June 30, 2026. Refer to the 2025 Form 10-K. The financial risks included below are required interim disclosures, even if they have not materially changed from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we had cash deposited as collateral of $13 million and letters of credit of $6 million outstanding related to our energy contracts. Price movements and/or a downgrade in our credit ratings or other established credit criteria could impact further the amount of collateral required. See “Credit Ratings” in the 2025 Form 10-K for further information. For example, in addition to limiting our ability to conduct transactions, if our credit ratings were lowered to below “investment grade” based on our positions outstanding at June 30, 2026 (including both contracts considered derivatives and those considered non-derivatives), we would potentially be required to post the following additional collateral (dollars in millions):</w:t>
      </w:r>
    </w:p>
    <w:tbl>
      <w:tblPr>
        <w:tblW w:w="6728" w:type="dxa"/>
        <w:jc w:val="left"/>
        <w:tblInd w:w="0" w:type="dxa"/>
        <w:tblLayout w:type="fixed"/>
        <w:tblCellMar>
          <w:top w:w="28" w:type="dxa"/>
          <w:left w:w="28" w:type="dxa"/>
          <w:bottom w:w="28" w:type="dxa"/>
          <w:right w:w="28" w:type="dxa"/>
        </w:tblCellMar>
      </w:tblPr>
      <w:tblGrid>
        <w:gridCol w:w="5296"/>
        <w:gridCol w:w="146"/>
        <w:gridCol w:w="438"/>
        <w:gridCol w:w="657"/>
        <w:gridCol w:w="1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taking into account contractual thresholds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without contractual thresholds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energy commodity risks have not materially changed during the six months ended June 30, 2026. See the 2025 Form 10-K. The following table presents energy commodity derivative fair values as a net asset or (liability) as of June 30, 2026 expected to be settled in each respective year (dollars in millions). As of June 30, 2026, there are no energy commodity derivative contracts outstanding with expected settlements after 2028:</w:t>
      </w:r>
    </w:p>
    <w:tbl>
      <w:tblPr>
        <w:tblW w:w="10205" w:type="dxa"/>
        <w:jc w:val="left"/>
        <w:tblInd w:w="0" w:type="dxa"/>
        <w:tblLayout w:type="fixed"/>
        <w:tblCellMar>
          <w:top w:w="28" w:type="dxa"/>
          <w:left w:w="28" w:type="dxa"/>
          <w:bottom w:w="28" w:type="dxa"/>
          <w:right w:w="28" w:type="dxa"/>
        </w:tblCellMar>
      </w:tblPr>
      <w:tblGrid>
        <w:gridCol w:w="1211"/>
        <w:gridCol w:w="146"/>
        <w:gridCol w:w="298"/>
        <w:gridCol w:w="489"/>
        <w:gridCol w:w="148"/>
        <w:gridCol w:w="148"/>
        <w:gridCol w:w="320"/>
        <w:gridCol w:w="527"/>
        <w:gridCol w:w="146"/>
        <w:gridCol w:w="146"/>
        <w:gridCol w:w="282"/>
        <w:gridCol w:w="505"/>
        <w:gridCol w:w="166"/>
        <w:gridCol w:w="146"/>
        <w:gridCol w:w="370"/>
        <w:gridCol w:w="477"/>
        <w:gridCol w:w="166"/>
        <w:gridCol w:w="146"/>
        <w:gridCol w:w="298"/>
        <w:gridCol w:w="489"/>
        <w:gridCol w:w="148"/>
        <w:gridCol w:w="148"/>
        <w:gridCol w:w="320"/>
        <w:gridCol w:w="527"/>
        <w:gridCol w:w="146"/>
        <w:gridCol w:w="146"/>
        <w:gridCol w:w="343"/>
        <w:gridCol w:w="444"/>
        <w:gridCol w:w="166"/>
        <w:gridCol w:w="146"/>
        <w:gridCol w:w="320"/>
        <w:gridCol w:w="527"/>
        <w:gridCol w:w="200"/>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energy commodity derivative fair values as a net asset or (liability) as of December 31, 2025 expected to be settled in each respective year (dollars in millions). As of December 31, 2025, there are no energy commodity derivative contracts outstanding with expected settlements after 2028.</w:t>
      </w:r>
    </w:p>
    <w:tbl>
      <w:tblPr>
        <w:tblW w:w="10205" w:type="dxa"/>
        <w:jc w:val="left"/>
        <w:tblInd w:w="0" w:type="dxa"/>
        <w:tblLayout w:type="fixed"/>
        <w:tblCellMar>
          <w:top w:w="28" w:type="dxa"/>
          <w:left w:w="28" w:type="dxa"/>
          <w:bottom w:w="28" w:type="dxa"/>
          <w:right w:w="28" w:type="dxa"/>
        </w:tblCellMar>
      </w:tblPr>
      <w:tblGrid>
        <w:gridCol w:w="541"/>
        <w:gridCol w:w="146"/>
        <w:gridCol w:w="329"/>
        <w:gridCol w:w="541"/>
        <w:gridCol w:w="149"/>
        <w:gridCol w:w="149"/>
        <w:gridCol w:w="351"/>
        <w:gridCol w:w="579"/>
        <w:gridCol w:w="146"/>
        <w:gridCol w:w="146"/>
        <w:gridCol w:w="311"/>
        <w:gridCol w:w="559"/>
        <w:gridCol w:w="166"/>
        <w:gridCol w:w="146"/>
        <w:gridCol w:w="333"/>
        <w:gridCol w:w="597"/>
        <w:gridCol w:w="166"/>
        <w:gridCol w:w="146"/>
        <w:gridCol w:w="329"/>
        <w:gridCol w:w="541"/>
        <w:gridCol w:w="149"/>
        <w:gridCol w:w="149"/>
        <w:gridCol w:w="351"/>
        <w:gridCol w:w="579"/>
        <w:gridCol w:w="146"/>
        <w:gridCol w:w="146"/>
        <w:gridCol w:w="380"/>
        <w:gridCol w:w="490"/>
        <w:gridCol w:w="166"/>
        <w:gridCol w:w="146"/>
        <w:gridCol w:w="351"/>
        <w:gridCol w:w="579"/>
        <w:gridCol w:w="202"/>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Physical transactions represent commodity transactions in which we take or make delivery of either electricity or natural gas; financial transactions represent financial derivative instruments that are settled in cash with no physical delivery of the underlying commodity, such as futures, swap derivatives, or options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electric and natural gas derivative contracts will be included in either power supply costs or natural gas supply costs during the period they are settled and will be included in deferral and recovery mechanisms (ERM, PCA, and PGAs), or in the general rate case process, and are expected to eventually be collected through retail rates from customers.</w:t>
      </w:r>
    </w:p>
    <w:p>
      <w:pPr>
        <w:pStyle w:val="TextBody"/>
        <w:bidi w:val="0"/>
        <w:spacing w:before="240" w:after="283"/>
        <w:jc w:val="left"/>
        <w:rPr>
          <w:rFonts w:ascii="Times New Roman" w:hAnsi="Times New Roman"/>
          <w:b/>
          <w:color w:val="000000"/>
          <w:sz w:val="20"/>
          <w:u w:val="single"/>
        </w:rPr>
      </w:pPr>
      <w:bookmarkStart w:id="48" w:name="item_3_quantitative_qualitative_disclosu"/>
      <w:bookmarkEnd w:id="48"/>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in the Enterprise Risk Management section of "Item 2. Management’s Discussion and Analysis of Financial Condition and Results of Operations" and is incorporated herein by reference.</w:t>
      </w:r>
    </w:p>
    <w:p>
      <w:pPr>
        <w:pStyle w:val="TextBody"/>
        <w:bidi w:val="0"/>
        <w:spacing w:before="240" w:after="283"/>
        <w:jc w:val="left"/>
        <w:rPr>
          <w:rFonts w:ascii="Times New Roman" w:hAnsi="Times New Roman"/>
          <w:sz w:val="20"/>
        </w:rPr>
      </w:pPr>
      <w:bookmarkStart w:id="49" w:name="item_4_controls_procedures"/>
      <w:bookmarkEnd w:id="49"/>
      <w:r>
        <w:rPr>
          <w:rFonts w:ascii="Times New Roman" w:hAnsi="Times New Roman"/>
          <w:b/>
          <w:color w:val="000000"/>
          <w:sz w:val="20"/>
          <w:u w:val="single"/>
        </w:rPr>
        <w:t>Item 4. Controls</w:t>
      </w:r>
      <w:r>
        <w:rPr>
          <w:rFonts w:ascii="Times New Roman" w:hAnsi="Times New Roman"/>
          <w:color w:val="000000"/>
          <w:sz w:val="20"/>
          <w:u w:val="single"/>
        </w:rPr>
        <w:t xml:space="preserve"> </w:t>
      </w:r>
      <w:r>
        <w:rPr>
          <w:rFonts w:ascii="Times New Roman" w:hAnsi="Times New Roman"/>
          <w:b/>
          <w:color w:val="000000"/>
          <w:sz w:val="20"/>
          <w:u w:val="single"/>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Conclusion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disclosure controls and procedures (as defined in Rules 13a-15(e) and 15d-15(e) under the Securities Exchange Act of 1934, as amended) (Act) that are designed to ensure that information required to be disclosed in the reports it files or submits under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 is recorded, processed, summarized and reported on a timely basis. Disclosure controls and procedures include, without limitation, controls and procedures designed to ensure that information required to be disclosed by the Company in the reports that it files or submits under the Act is accumulated and communicated to the Company’s management, including its principal executive and principal financial officers, as appropriate, to allow timely decisions regarding required disclosure. With the participation of the Company’s principal executive officer and principal financial officer, the Company's management evaluated its disclosure controls and procedures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this evaluation, the Company’s principal executive officer and principal financial officer have concluded that the Company’s disclosure controls and procedures are effective at a reasonable assurance level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that occurred during the second quarter of 2026 that have materially affected, or are reasonably likely to materially affect, the Company's internal control over financial reporting.</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bookmarkStart w:id="50" w:name="part_ii_or_information"/>
      <w:bookmarkEnd w:id="50"/>
      <w:r>
        <w:rPr>
          <w:rFonts w:ascii="Times New Roman" w:hAnsi="Times New Roman"/>
          <w:b/>
          <w:color w:val="000000"/>
          <w:sz w:val="20"/>
          <w:u w:val="single"/>
        </w:rPr>
        <w:t>PART II. Other Information</w:t>
      </w:r>
    </w:p>
    <w:p>
      <w:pPr>
        <w:pStyle w:val="TextBody"/>
        <w:bidi w:val="0"/>
        <w:spacing w:before="120" w:after="283"/>
        <w:jc w:val="left"/>
        <w:rPr>
          <w:rFonts w:ascii="Times New Roman" w:hAnsi="Times New Roman"/>
          <w:sz w:val="20"/>
        </w:rPr>
      </w:pPr>
      <w:bookmarkStart w:id="51" w:name="item_1_legal_proceedings"/>
      <w:bookmarkEnd w:id="51"/>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15 of Notes to Condensed Consolidated Financial Statements” in “Part I. Financial Information Item 1. Condensed Consolidated Financial Statements.”</w:t>
      </w:r>
    </w:p>
    <w:p>
      <w:pPr>
        <w:pStyle w:val="TextBody"/>
        <w:bidi w:val="0"/>
        <w:spacing w:before="240" w:after="283"/>
        <w:jc w:val="left"/>
        <w:rPr>
          <w:rFonts w:ascii="Times New Roman" w:hAnsi="Times New Roman"/>
          <w:b/>
          <w:color w:val="000000"/>
          <w:sz w:val="20"/>
          <w:u w:val="single"/>
        </w:rPr>
      </w:pPr>
      <w:bookmarkStart w:id="52" w:name="item_1a_risk_factors"/>
      <w:bookmarkEnd w:id="52"/>
      <w:r>
        <w:rPr>
          <w:rFonts w:ascii="Times New Roman" w:hAnsi="Times New Roman"/>
          <w:b/>
          <w:color w:val="000000"/>
          <w:sz w:val="20"/>
          <w:u w:val="single"/>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2025 Form 10-K for disclosure of risk factors that could have a significant impact on our results of operations, financial condition or cash flows and could cause actual results or outcomes to differ materially from those discussed in our reports filed with the SEC (including this Quarterly Report on Form 10-Q), and elsewhere. These risk factors have not materially changed from the disclosures provided in the 2025 Form 10-K. </w:t>
      </w:r>
    </w:p>
    <w:p>
      <w:pPr>
        <w:pStyle w:val="TextBody"/>
        <w:bidi w:val="0"/>
        <w:spacing w:before="240" w:after="283"/>
        <w:jc w:val="left"/>
        <w:rPr>
          <w:rFonts w:ascii="Times New Roman" w:hAnsi="Times New Roman"/>
          <w:b/>
          <w:color w:val="000000"/>
          <w:sz w:val="20"/>
          <w:u w:val="single"/>
        </w:rPr>
      </w:pPr>
      <w:bookmarkStart w:id="53" w:name="item_5_other_information"/>
      <w:bookmarkEnd w:id="53"/>
      <w:r>
        <w:rPr>
          <w:rFonts w:ascii="Times New Roman" w:hAnsi="Times New Roman"/>
          <w:b/>
          <w:color w:val="000000"/>
          <w:sz w:val="20"/>
          <w:u w:val="single"/>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fiscal quarter ended June 30, 2026, none of our directors or officers informed us of the adoption or termination of a "Rule 10b5-1 trading arrangement" or "non-Rule 10b5-1 trading arrangement," as those terms are defined in Regulation S-K, Item 408.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54" w:name="item_6_exhibits"/>
      <w:bookmarkEnd w:id="54"/>
      <w:r>
        <w:rPr>
          <w:rFonts w:ascii="Times New Roman" w:hAnsi="Times New Roman"/>
          <w:b/>
          <w:color w:val="000000"/>
          <w:sz w:val="20"/>
          <w:u w:val="single"/>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
        <w:gridCol w:w="146"/>
        <w:gridCol w:w="9348"/>
      </w:tblGrid>
      <w:tr>
        <w:trPr/>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8"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15.htm">
              <w:r>
                <w:rPr>
                  <w:rStyle w:val="InternetLink"/>
                  <w:rFonts w:ascii="Times New Roman" w:hAnsi="Times New Roman"/>
                  <w:color w:val="0000FF"/>
                  <w:sz w:val="20"/>
                  <w:u w:val="single"/>
                </w:rPr>
                <w:t>15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15.htm">
              <w:r>
                <w:rPr>
                  <w:rStyle w:val="InternetLink"/>
                  <w:rFonts w:ascii="Times New Roman" w:hAnsi="Times New Roman"/>
                  <w:color w:val="0000FF"/>
                  <w:sz w:val="20"/>
                  <w:u w:val="single"/>
                </w:rPr>
                <w:t>Letter Re: Unaudited Interim Financial Information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2.htm">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2.htm">
              <w:r>
                <w:rPr>
                  <w:rStyle w:val="InternetLink"/>
                  <w:rFonts w:ascii="Times New Roman" w:hAnsi="Times New Roman"/>
                  <w:color w:val="0000FF"/>
                  <w:sz w:val="20"/>
                  <w:u w:val="single"/>
                </w:rPr>
                <w:t>Certification of Corporate Officers (Furnished Pursuant to 18 U.S.C. Section 1350, as Adopted Pursuant to Section 906 of the Sarbanes-Oxley Act of 2002) (2)</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inline XBRL tags are embedded within the inline XBRL document.</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u w:val="single"/>
        </w:rPr>
      </w:pPr>
      <w:bookmarkStart w:id="55" w:name="signature"/>
      <w:bookmarkEnd w:id="55"/>
      <w:r>
        <w:rPr>
          <w:rFonts w:ascii="Times New Roman" w:hAnsi="Times New Roman"/>
          <w:color w:val="000000"/>
          <w:sz w:val="20"/>
          <w:u w:val="single"/>
        </w:rPr>
        <w:t>SIGNATURE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04" w:type="dxa"/>
        <w:jc w:val="left"/>
        <w:tblInd w:w="0" w:type="dxa"/>
        <w:tblLayout w:type="fixed"/>
        <w:tblCellMar>
          <w:top w:w="28" w:type="dxa"/>
          <w:left w:w="28" w:type="dxa"/>
          <w:bottom w:w="28" w:type="dxa"/>
          <w:right w:w="28" w:type="dxa"/>
        </w:tblCellMar>
      </w:tblPr>
      <w:tblGrid>
        <w:gridCol w:w="556"/>
        <w:gridCol w:w="1216"/>
        <w:gridCol w:w="146"/>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Senior Vice President, 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Treasurer and Regulatory Affairs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bookmarkStart w:id="56" w:name="ava-ex15.htm"/>
      <w:bookmarkStart w:id="57" w:name="ksavaex15"/>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15</w:t>
      </w:r>
    </w:p>
    <w:p>
      <w:pPr>
        <w:pStyle w:val="TextBody"/>
        <w:bidi w:val="0"/>
        <w:jc w:val="left"/>
        <w:rPr>
          <w:rFonts w:ascii="Times New Roman" w:hAnsi="Times New Roman"/>
          <w:color w:val="000000"/>
          <w:sz w:val="20"/>
        </w:rPr>
      </w:pPr>
      <w:r>
        <w:rPr>
          <w:rFonts w:ascii="Times New Roman" w:hAnsi="Times New Roman"/>
          <w:color w:val="000000"/>
          <w:sz w:val="20"/>
        </w:rPr>
        <w:t>July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Shareholders of Avista Corporation</w:t>
      </w:r>
    </w:p>
    <w:p>
      <w:pPr>
        <w:pStyle w:val="TextBody"/>
        <w:bidi w:val="0"/>
        <w:jc w:val="left"/>
        <w:rPr>
          <w:rFonts w:ascii="Times New Roman" w:hAnsi="Times New Roman"/>
          <w:color w:val="000000"/>
          <w:sz w:val="20"/>
        </w:rPr>
      </w:pPr>
      <w:r>
        <w:rPr>
          <w:rFonts w:ascii="Times New Roman" w:hAnsi="Times New Roman"/>
          <w:color w:val="000000"/>
          <w:sz w:val="20"/>
        </w:rPr>
        <w:t>1411 East Mission Ave</w:t>
      </w:r>
    </w:p>
    <w:p>
      <w:pPr>
        <w:pStyle w:val="TextBody"/>
        <w:bidi w:val="0"/>
        <w:jc w:val="left"/>
        <w:rPr>
          <w:rFonts w:ascii="Times New Roman" w:hAnsi="Times New Roman"/>
          <w:color w:val="000000"/>
          <w:sz w:val="20"/>
        </w:rPr>
      </w:pPr>
      <w:r>
        <w:rPr>
          <w:rFonts w:ascii="Times New Roman" w:hAnsi="Times New Roman"/>
          <w:color w:val="000000"/>
          <w:sz w:val="20"/>
        </w:rPr>
        <w:t>Spokane, Washington 99202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aware that our report dated July 31, 2026, on our review of interim financial information of Avista Corporation and subsidiaries appearing in this Quarterly report on Form 10-Q for the quarter ended June 30, 2026, is incorporated by reference in Registration Statement Nos. 333-33790, 333-179042, 333-208986, and 333-295354 on Form S-8 and in Registration Statement No. 333-287023 on Form S-3.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ava-ex31_1.htm"/>
      <w:bookmarkStart w:id="59" w:name="ksavaex31_1"/>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Heather L. Rosentrater,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43" w:type="dxa"/>
        <w:jc w:val="left"/>
        <w:tblInd w:w="0" w:type="dxa"/>
        <w:tblLayout w:type="fixed"/>
        <w:tblCellMar>
          <w:top w:w="28" w:type="dxa"/>
          <w:left w:w="28" w:type="dxa"/>
          <w:bottom w:w="28" w:type="dxa"/>
          <w:right w:w="28" w:type="dxa"/>
        </w:tblCellMar>
      </w:tblPr>
      <w:tblGrid>
        <w:gridCol w:w="556"/>
        <w:gridCol w:w="1216"/>
        <w:gridCol w:w="32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br/>
              <w:t>July 31, 2026</w:t>
            </w:r>
          </w:p>
        </w:tc>
        <w:tc>
          <w:tcPr>
            <w:tcW w:w="327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Heather L. Rosentrater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Heather L. Rosentrater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color w:val="000000"/>
              </w:rPr>
            </w:pPr>
            <w:r>
              <w:rPr>
                <w:color w:val="000000"/>
              </w:rPr>
              <w:t> </w:t>
            </w:r>
            <w:r>
              <w:rPr>
                <w:rFonts w:ascii="Times New Roman" w:hAnsi="Times New Roman"/>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ava-ex31_2.htm"/>
      <w:bookmarkStart w:id="61" w:name="ksavaex31_2"/>
      <w:bookmarkEnd w:id="60"/>
      <w:bookmarkEnd w:id="6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Kevin J. Christie,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8" w:type="dxa"/>
        <w:jc w:val="left"/>
        <w:tblInd w:w="0" w:type="dxa"/>
        <w:tblLayout w:type="fixed"/>
        <w:tblCellMar>
          <w:top w:w="28" w:type="dxa"/>
          <w:left w:w="28" w:type="dxa"/>
          <w:bottom w:w="28" w:type="dxa"/>
          <w:right w:w="28" w:type="dxa"/>
        </w:tblCellMar>
      </w:tblPr>
      <w:tblGrid>
        <w:gridCol w:w="556"/>
        <w:gridCol w:w="1216"/>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July 31, 2026</w:t>
            </w:r>
          </w:p>
        </w:tc>
        <w:tc>
          <w:tcPr>
            <w:tcW w:w="388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Kevin J. Christie</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Treasurer and Regulatory Affairs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16"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ava-ex32.htm"/>
      <w:bookmarkStart w:id="63" w:name="ksavaex32"/>
      <w:bookmarkEnd w:id="62"/>
      <w:bookmarkEnd w:id="6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AVISTA CORPORATION</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OF CORPORATE OFFICERS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(Furnished Pursuant to 18 U.S.C. Section 1350, as Adopted Pursuant to Section 906 of the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Sarbanes-Oxley Act of 2002)</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undersigned, Heather L. Rosentrater, President and Chief Executive Officer of Avista Corporation (the “Company”), and Kevin J. Christie, Senior Vice President, Chief Financial Officer, Treasurer and Regulatory Affairs Officer of the Company, hereby certifies, pursuant to 18 U.S.C. Section 1350, as adopted pursuant to Section 906 of the Sarbanes-Oxley Act of 2002, that the Company’s Quarterly Report on Form 10-Q for the quarter ended June 30, 2026 fully complies with the requirements of Section 13(a) of the Securities Exchange Act of 1934, as amended, and that the information contained therein fairly presents, in all material respects, the financial condition and results of operations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July 31, 2026</w:t>
      </w:r>
    </w:p>
    <w:p>
      <w:pPr>
        <w:pStyle w:val="TextBody"/>
        <w:bidi w:val="0"/>
        <w:jc w:val="left"/>
        <w:rPr/>
      </w:pPr>
      <w:r>
        <w:rPr/>
        <w:t> </w:t>
      </w:r>
    </w:p>
    <w:tbl>
      <w:tblPr>
        <w:tblW w:w="4047" w:type="dxa"/>
        <w:jc w:val="left"/>
        <w:tblInd w:w="0" w:type="dxa"/>
        <w:tblLayout w:type="fixed"/>
        <w:tblCellMar>
          <w:top w:w="28" w:type="dxa"/>
          <w:left w:w="28" w:type="dxa"/>
          <w:bottom w:w="28" w:type="dxa"/>
          <w:right w:w="28" w:type="dxa"/>
        </w:tblCellMar>
      </w:tblPr>
      <w:tblGrid>
        <w:gridCol w:w="161"/>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Heather L. Rosentrater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Heather L. Rosentrater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J. Christie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Treasurer and Regulatory Affairs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27214</Words>
  <Characters>146382</Characters>
  <CharactersWithSpaces>175713</CharactersWithSpaces>
  <Paragraphs>10020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