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va-20260702.htm"/>
      <w:bookmarkStart w:id="1" w:name="ksava2026070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AVISTA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001-03701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91-0462470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East Mission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Spokane,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99202-2600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509</w:t>
            </w:r>
            <w:r>
              <w:rPr>
                <w:rFonts w:ascii="Times New Roman" w:hAnsi="Times New Roman"/>
                <w:color w:val="000000"/>
                <w:sz w:val="20"/>
              </w:rPr>
              <w:t xml:space="preserve"> </w:t>
            </w:r>
            <w:r>
              <w:rPr>
                <w:rFonts w:ascii="Times New Roman" w:hAnsi="Times New Roman"/>
                <w:b/>
                <w:color w:val="000000"/>
                <w:sz w:val="20"/>
              </w:rPr>
              <w:t>489-0500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On July 2, 2026, Jason R. Thackston, Senior Vice President of Growth, Energy Policy and External Relations of Avista Corporation (Avista Corp. or the Company), announced his retirement from the Company, effective January 1,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January 2027 Mr. Thackston will be joining his alma mater Whitworth University, with which he has previously served in Board-level leadership positions, as its Vice President of Finance and Administration and Chief Financial Officer. His decision to accept this position and depart from Avista Corp. is not due to any disagreement between himself and management or the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Thackston will focus on transition of his responsibilities over the next six months.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94" w:type="dxa"/>
        <w:jc w:val="left"/>
        <w:tblInd w:w="0" w:type="dxa"/>
        <w:tblLayout w:type="fixed"/>
        <w:tblCellMar>
          <w:top w:w="28" w:type="dxa"/>
          <w:left w:w="28" w:type="dxa"/>
          <w:bottom w:w="28" w:type="dxa"/>
          <w:right w:w="28" w:type="dxa"/>
        </w:tblCellMar>
      </w:tblPr>
      <w:tblGrid>
        <w:gridCol w:w="556"/>
        <w:gridCol w:w="1111"/>
        <w:gridCol w:w="451"/>
        <w:gridCol w:w="3376"/>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bottom w:val="single" w:sz="4" w:space="0" w:color="000000"/>
            </w:tcBorders>
            <w:tcMar>
              <w:top w:w="0" w:type="dxa"/>
              <w:left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Avista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7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Gregory C. Hesler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Gregory C. Hesler</w:t>
              <w:br/>
              <w:t>Senior Vice President, General Counsel,</w:t>
              <w:br/>
              <w:t xml:space="preserve">Corporate Secretary and </w:t>
              <w:br/>
              <w:t>Chief Ethics/Compliance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480</Words>
  <Characters>2712</Characters>
  <CharactersWithSpaces>3195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