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0"/>
        </w:rPr>
      </w:pPr>
      <w:bookmarkStart w:id="0" w:name="ava-20251231.htm"/>
      <w:bookmarkStart w:id="1" w:name="ksava20251231"/>
      <w:bookmarkEnd w:id="0"/>
      <w:bookmarkEnd w:id="1"/>
      <w:r>
        <w:rPr>
          <w:rFonts w:ascii="Times New Roman" w:hAnsi="Times New Roman"/>
          <w:color w:val="000000"/>
          <w:sz w:val="20"/>
        </w:rPr>
        <w:br/>
        <w:t> </w:t>
      </w:r>
    </w:p>
    <w:p>
      <w:pPr>
        <w:pStyle w:val="TextBody"/>
        <w:bidi w:val="0"/>
        <w:jc w:val="left"/>
        <w:rPr/>
      </w:pPr>
      <w:bookmarkStart w:id="2" w:name="cover_page"/>
      <w:bookmarkEnd w:id="2"/>
      <w:r>
        <w:rPr/>
        <w:t> </w:t>
      </w:r>
    </w:p>
    <w:p>
      <w:pPr>
        <w:pStyle w:val="TextBody"/>
        <w:bidi w:val="0"/>
        <w:jc w:val="left"/>
        <w:rPr/>
      </w:pPr>
      <w:r>
        <w:rPr/>
        <w:t> </w:t>
      </w:r>
    </w:p>
    <w:p>
      <w:pPr>
        <w:pStyle w:val="TextBody"/>
        <w:bidi w:val="0"/>
        <w:spacing w:before="0" w:after="2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spacing w:before="0" w:after="2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FORM 11-K</w:t>
      </w:r>
    </w:p>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140"/>
        <w:jc w:val="left"/>
        <w:rPr>
          <w:rFonts w:ascii="Times New Roman" w:hAnsi="Times New Roman"/>
          <w:b/>
          <w:color w:val="000000"/>
          <w:sz w:val="16"/>
        </w:rPr>
      </w:pPr>
      <w:r>
        <w:rPr>
          <w:rFonts w:ascii="Times New Roman" w:hAnsi="Times New Roman"/>
          <w:b/>
          <w:color w:val="000000"/>
          <w:sz w:val="16"/>
        </w:rPr>
        <w:t>(Mark One)</w:t>
      </w:r>
    </w:p>
    <w:tbl>
      <w:tblPr>
        <w:tblW w:w="9332" w:type="dxa"/>
        <w:jc w:val="left"/>
        <w:tblInd w:w="0" w:type="dxa"/>
        <w:tblLayout w:type="fixed"/>
        <w:tblCellMar>
          <w:top w:w="28" w:type="dxa"/>
          <w:left w:w="28" w:type="dxa"/>
          <w:bottom w:w="28" w:type="dxa"/>
          <w:right w:w="28" w:type="dxa"/>
        </w:tblCellMar>
      </w:tblPr>
      <w:tblGrid>
        <w:gridCol w:w="331"/>
        <w:gridCol w:w="9001"/>
      </w:tblGrid>
      <w:tr>
        <w:trPr/>
        <w:tc>
          <w:tcPr>
            <w:tcW w:w="331"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c>
          <w:tcPr>
            <w:tcW w:w="900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ANNUAL REPORT PURSUANT TO SECTION 15(d) OF THE SECURITIES EXCHANGE ACT OF 1934</w:t>
            </w:r>
          </w:p>
        </w:tc>
      </w:tr>
    </w:tbl>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spacing w:before="20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0" w:after="140"/>
        <w:jc w:val="left"/>
        <w:rPr/>
      </w:pPr>
      <w:r>
        <w:rPr/>
        <w:t> </w:t>
      </w:r>
    </w:p>
    <w:tbl>
      <w:tblPr>
        <w:tblW w:w="9737" w:type="dxa"/>
        <w:jc w:val="left"/>
        <w:tblInd w:w="0" w:type="dxa"/>
        <w:tblLayout w:type="fixed"/>
        <w:tblCellMar>
          <w:top w:w="28" w:type="dxa"/>
          <w:left w:w="28" w:type="dxa"/>
          <w:bottom w:w="28" w:type="dxa"/>
          <w:right w:w="28" w:type="dxa"/>
        </w:tblCellMar>
      </w:tblPr>
      <w:tblGrid>
        <w:gridCol w:w="331"/>
        <w:gridCol w:w="9406"/>
      </w:tblGrid>
      <w:tr>
        <w:trPr/>
        <w:tc>
          <w:tcPr>
            <w:tcW w:w="331"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w:t>
            </w:r>
          </w:p>
        </w:tc>
        <w:tc>
          <w:tcPr>
            <w:tcW w:w="940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TRANSITION REPORT PURSUANT TO SECTION 15(d) OF THE SECURITIES EXCHANGE ACT OF 1934</w:t>
            </w:r>
          </w:p>
        </w:tc>
      </w:tr>
    </w:tbl>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FOR THE TRANSITION PERIOD FROM TO</w:t>
      </w:r>
    </w:p>
    <w:p>
      <w:pPr>
        <w:pStyle w:val="TextBody"/>
        <w:bidi w:val="0"/>
        <w:spacing w:before="200" w:after="283"/>
        <w:jc w:val="center"/>
        <w:rPr>
          <w:rFonts w:ascii="Times New Roman" w:hAnsi="Times New Roman"/>
          <w:b/>
          <w:color w:val="000000"/>
          <w:sz w:val="16"/>
        </w:rPr>
      </w:pPr>
      <w:r>
        <w:rPr>
          <w:rFonts w:ascii="Times New Roman" w:hAnsi="Times New Roman"/>
          <w:b/>
          <w:color w:val="000000"/>
          <w:sz w:val="16"/>
        </w:rPr>
        <w:t>Commission file number 1-3701</w:t>
      </w:r>
    </w:p>
    <w:p>
      <w:pPr>
        <w:pStyle w:val="TextBody"/>
        <w:bidi w:val="0"/>
        <w:jc w:val="left"/>
        <w:rPr/>
      </w:pPr>
      <w:r>
        <w:rPr/>
        <w:t> </w:t>
      </w:r>
    </w:p>
    <w:p>
      <w:pPr>
        <w:pStyle w:val="TextBody"/>
        <w:bidi w:val="0"/>
        <w:spacing w:before="0" w:after="2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center"/>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THE INVESTMENT AND EMPLOYEE STOCK</w:t>
      </w:r>
    </w:p>
    <w:p>
      <w:pPr>
        <w:pStyle w:val="TextBody"/>
        <w:bidi w:val="0"/>
        <w:jc w:val="center"/>
        <w:rPr>
          <w:rFonts w:ascii="Times New Roman" w:hAnsi="Times New Roman"/>
          <w:b/>
          <w:color w:val="000000"/>
          <w:sz w:val="20"/>
        </w:rPr>
      </w:pPr>
      <w:r>
        <w:rPr>
          <w:rFonts w:ascii="Times New Roman" w:hAnsi="Times New Roman"/>
          <w:b/>
          <w:color w:val="000000"/>
          <w:sz w:val="20"/>
        </w:rPr>
        <w:t>OWNERSHIP PLAN OF</w:t>
      </w:r>
    </w:p>
    <w:p>
      <w:pPr>
        <w:pStyle w:val="TextBody"/>
        <w:bidi w:val="0"/>
        <w:jc w:val="center"/>
        <w:rPr>
          <w:rFonts w:ascii="Times New Roman" w:hAnsi="Times New Roman"/>
          <w:b/>
          <w:color w:val="000000"/>
          <w:sz w:val="20"/>
        </w:rPr>
      </w:pPr>
      <w:r>
        <w:rPr>
          <w:rFonts w:ascii="Times New Roman" w:hAnsi="Times New Roman"/>
          <w:b/>
          <w:color w:val="000000"/>
          <w:sz w:val="20"/>
        </w:rPr>
        <w:t>AVISTA CORPORATION</w:t>
      </w:r>
    </w:p>
    <w:p>
      <w:pPr>
        <w:pStyle w:val="TextBody"/>
        <w:bidi w:val="0"/>
        <w:jc w:val="center"/>
        <w:rPr>
          <w:rFonts w:ascii="Times New Roman" w:hAnsi="Times New Roman"/>
          <w:b/>
          <w:color w:val="000000"/>
          <w:sz w:val="16"/>
        </w:rPr>
      </w:pPr>
      <w:r>
        <w:rPr>
          <w:rFonts w:ascii="Times New Roman" w:hAnsi="Times New Roman"/>
          <w:b/>
          <w:color w:val="000000"/>
          <w:sz w:val="16"/>
        </w:rPr>
        <w:t>(Full Title of the Plan)</w:t>
      </w:r>
    </w:p>
    <w:p>
      <w:pPr>
        <w:pStyle w:val="TextBody"/>
        <w:bidi w:val="0"/>
        <w:spacing w:before="200" w:after="283"/>
        <w:jc w:val="center"/>
        <w:rPr>
          <w:rFonts w:ascii="Times New Roman" w:hAnsi="Times New Roman"/>
          <w:b/>
          <w:color w:val="000000"/>
          <w:sz w:val="34"/>
        </w:rPr>
      </w:pPr>
      <w:r>
        <w:rPr>
          <w:rFonts w:ascii="Times New Roman" w:hAnsi="Times New Roman"/>
          <w:b/>
          <w:color w:val="000000"/>
          <w:sz w:val="34"/>
        </w:rPr>
        <w:t>AVISTA CORPORATION</w:t>
      </w:r>
    </w:p>
    <w:p>
      <w:pPr>
        <w:pStyle w:val="TextBody"/>
        <w:bidi w:val="0"/>
        <w:jc w:val="center"/>
        <w:rPr>
          <w:rFonts w:ascii="Times New Roman" w:hAnsi="Times New Roman"/>
          <w:b/>
          <w:color w:val="000000"/>
          <w:sz w:val="16"/>
        </w:rPr>
      </w:pPr>
      <w:r>
        <w:rPr>
          <w:rFonts w:ascii="Times New Roman" w:hAnsi="Times New Roman"/>
          <w:b/>
          <w:color w:val="000000"/>
          <w:sz w:val="16"/>
        </w:rPr>
        <w:t>1411 East Mission Avenue</w:t>
      </w:r>
    </w:p>
    <w:p>
      <w:pPr>
        <w:pStyle w:val="TextBody"/>
        <w:bidi w:val="0"/>
        <w:jc w:val="center"/>
        <w:rPr>
          <w:rFonts w:ascii="Times New Roman" w:hAnsi="Times New Roman"/>
          <w:b/>
          <w:color w:val="000000"/>
          <w:sz w:val="16"/>
        </w:rPr>
      </w:pPr>
      <w:r>
        <w:rPr>
          <w:rFonts w:ascii="Times New Roman" w:hAnsi="Times New Roman"/>
          <w:b/>
          <w:color w:val="000000"/>
          <w:sz w:val="16"/>
        </w:rPr>
        <w:t>Spokane, Washington 99202-2600</w:t>
      </w:r>
    </w:p>
    <w:p>
      <w:pPr>
        <w:pStyle w:val="TextBody"/>
        <w:bidi w:val="0"/>
        <w:jc w:val="center"/>
        <w:rPr>
          <w:rFonts w:ascii="Times New Roman" w:hAnsi="Times New Roman"/>
          <w:b/>
          <w:color w:val="000000"/>
          <w:sz w:val="13"/>
        </w:rPr>
      </w:pPr>
      <w:r>
        <w:rPr>
          <w:rFonts w:ascii="Times New Roman" w:hAnsi="Times New Roman"/>
          <w:b/>
          <w:color w:val="000000"/>
          <w:sz w:val="13"/>
        </w:rPr>
        <w:t>(Name of issuer of the securities held pursuant to the plan</w:t>
      </w:r>
    </w:p>
    <w:p>
      <w:pPr>
        <w:pStyle w:val="TextBody"/>
        <w:bidi w:val="0"/>
        <w:jc w:val="center"/>
        <w:rPr>
          <w:rFonts w:ascii="Times New Roman" w:hAnsi="Times New Roman"/>
          <w:b/>
          <w:color w:val="000000"/>
          <w:sz w:val="13"/>
        </w:rPr>
      </w:pPr>
      <w:r>
        <w:rPr>
          <w:rFonts w:ascii="Times New Roman" w:hAnsi="Times New Roman"/>
          <w:b/>
          <w:color w:val="000000"/>
          <w:sz w:val="13"/>
        </w:rPr>
        <w:t>and the address of its principal executive office)</w:t>
      </w:r>
    </w:p>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2"/>
        </w:rPr>
      </w:pPr>
      <w:bookmarkStart w:id="3" w:name="title_page"/>
      <w:bookmarkEnd w:id="3"/>
      <w:r>
        <w:rPr>
          <w:rFonts w:ascii="Times New Roman" w:hAnsi="Times New Roman"/>
          <w:b/>
          <w:color w:val="000000"/>
          <w:sz w:val="22"/>
        </w:rPr>
        <w:t>THE INVESTMENT AND EMPLOYEE STOCK OWNERSHIP PLAN</w:t>
      </w:r>
    </w:p>
    <w:p>
      <w:pPr>
        <w:pStyle w:val="TextBody"/>
        <w:bidi w:val="0"/>
        <w:jc w:val="center"/>
        <w:rPr>
          <w:rFonts w:ascii="Times New Roman" w:hAnsi="Times New Roman"/>
          <w:b/>
          <w:color w:val="000000"/>
          <w:sz w:val="22"/>
        </w:rPr>
      </w:pPr>
      <w:r>
        <w:rPr>
          <w:rFonts w:ascii="Times New Roman" w:hAnsi="Times New Roman"/>
          <w:b/>
          <w:color w:val="000000"/>
          <w:sz w:val="22"/>
        </w:rPr>
        <w:t>OF AVISTA CORPORATION</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FINANCIAL STATEMENTS AND</w:t>
      </w:r>
    </w:p>
    <w:p>
      <w:pPr>
        <w:pStyle w:val="TextBody"/>
        <w:bidi w:val="0"/>
        <w:jc w:val="center"/>
        <w:rPr>
          <w:rFonts w:ascii="Times New Roman" w:hAnsi="Times New Roman"/>
          <w:b/>
          <w:color w:val="000000"/>
          <w:sz w:val="22"/>
        </w:rPr>
      </w:pPr>
      <w:r>
        <w:rPr>
          <w:rFonts w:ascii="Times New Roman" w:hAnsi="Times New Roman"/>
          <w:b/>
          <w:color w:val="000000"/>
          <w:sz w:val="22"/>
        </w:rPr>
        <w:t>SUPPLEMENTAL INFORMATION</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YEARS ENDED DECEMBER 31, 2025 AND 2024</w:t>
      </w:r>
    </w:p>
    <w:p>
      <w:pPr>
        <w:pStyle w:val="TextBody"/>
        <w:bidi w:val="0"/>
        <w:spacing w:before="2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pPr>
      <w:bookmarkStart w:id="4" w:name="table_of_contents"/>
      <w:bookmarkEnd w:id="4"/>
      <w:r>
        <w:rPr/>
        <w:t> </w:t>
      </w:r>
    </w:p>
    <w:p>
      <w:pPr>
        <w:pStyle w:val="TextBody"/>
        <w:bidi w:val="0"/>
        <w:spacing w:before="0" w:after="260"/>
        <w:jc w:val="both"/>
        <w:rPr>
          <w:rFonts w:ascii="Times New Roman" w:hAnsi="Times New Roman"/>
          <w:color w:val="000000"/>
          <w:sz w:val="20"/>
        </w:rPr>
      </w:pPr>
      <w:r>
        <w:rPr>
          <w:rFonts w:ascii="Times New Roman" w:hAnsi="Times New Roman"/>
          <w:color w:val="000000"/>
          <w:sz w:val="20"/>
        </w:rPr>
        <w:t>TABLE OF CONTENTS</w:t>
      </w:r>
    </w:p>
    <w:tbl>
      <w:tblPr>
        <w:tblW w:w="5567" w:type="dxa"/>
        <w:jc w:val="left"/>
        <w:tblInd w:w="0" w:type="dxa"/>
        <w:tblLayout w:type="fixed"/>
        <w:tblCellMar>
          <w:top w:w="28" w:type="dxa"/>
          <w:left w:w="28" w:type="dxa"/>
          <w:bottom w:w="28" w:type="dxa"/>
          <w:right w:w="28" w:type="dxa"/>
        </w:tblCellMar>
      </w:tblPr>
      <w:tblGrid>
        <w:gridCol w:w="5206"/>
        <w:gridCol w:w="361"/>
      </w:tblGrid>
      <w:tr>
        <w:trPr/>
        <w:tc>
          <w:tcPr>
            <w:tcW w:w="52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206" w:type="dxa"/>
            <w:tcBorders/>
            <w:tcMar>
              <w:top w:w="0" w:type="dxa"/>
              <w:left w:w="0" w:type="dxa"/>
              <w:bottom w:w="0" w:type="dxa"/>
              <w:right w:w="0" w:type="dxa"/>
            </w:tcMar>
            <w:vAlign w:val="center"/>
          </w:tcPr>
          <w:p>
            <w:pPr>
              <w:pStyle w:val="TableContents"/>
              <w:bidi w:val="0"/>
              <w:spacing w:before="40" w:after="40"/>
              <w:jc w:val="left"/>
              <w:rPr/>
            </w:pPr>
            <w:hyperlink w:anchor="report_of_independent_registered_public_">
              <w:r>
                <w:rPr>
                  <w:rStyle w:val="InternetLink"/>
                  <w:rFonts w:ascii="Times New Roman" w:hAnsi="Times New Roman"/>
                  <w:color w:val="0000FF"/>
                  <w:sz w:val="20"/>
                  <w:u w:val="single"/>
                </w:rPr>
                <w:t>Report of Independent Registered Public Accounting Firm</w:t>
              </w:r>
            </w:hyperlink>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563C1"/>
                <w:sz w:val="20"/>
                <w:u w:val="single"/>
              </w:rPr>
            </w:pPr>
            <w:r>
              <w:rPr>
                <w:rFonts w:ascii="Times New Roman" w:hAnsi="Times New Roman"/>
                <w:color w:val="0563C1"/>
                <w:sz w:val="20"/>
                <w:u w:val="single"/>
              </w:rPr>
              <w:t>4</w:t>
            </w:r>
          </w:p>
        </w:tc>
      </w:tr>
      <w:tr>
        <w:trPr/>
        <w:tc>
          <w:tcPr>
            <w:tcW w:w="520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Financial Statements</w:t>
            </w:r>
          </w:p>
        </w:tc>
        <w:tc>
          <w:tcPr>
            <w:tcW w:w="36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5206" w:type="dxa"/>
            <w:tcBorders/>
            <w:tcMar>
              <w:top w:w="0" w:type="dxa"/>
              <w:left w:w="0" w:type="dxa"/>
              <w:bottom w:w="0" w:type="dxa"/>
              <w:right w:w="0" w:type="dxa"/>
            </w:tcMar>
            <w:vAlign w:val="center"/>
          </w:tcPr>
          <w:p>
            <w:pPr>
              <w:pStyle w:val="TableContents"/>
              <w:bidi w:val="0"/>
              <w:spacing w:before="40" w:after="40"/>
              <w:jc w:val="left"/>
              <w:rPr/>
            </w:pPr>
            <w:hyperlink w:anchor="statements_of_net_assets_available_for_b">
              <w:r>
                <w:rPr>
                  <w:rStyle w:val="InternetLink"/>
                  <w:rFonts w:ascii="Times New Roman" w:hAnsi="Times New Roman"/>
                  <w:color w:val="0000FF"/>
                  <w:sz w:val="20"/>
                  <w:u w:val="single"/>
                </w:rPr>
                <w:t>Statements of Net Assets Available for Benefits</w:t>
              </w:r>
            </w:hyperlink>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563C1"/>
                <w:sz w:val="20"/>
                <w:u w:val="single"/>
              </w:rPr>
            </w:pPr>
            <w:r>
              <w:rPr>
                <w:rFonts w:ascii="Times New Roman" w:hAnsi="Times New Roman"/>
                <w:color w:val="0563C1"/>
                <w:sz w:val="20"/>
                <w:u w:val="single"/>
              </w:rPr>
              <w:t>5</w:t>
            </w:r>
          </w:p>
        </w:tc>
      </w:tr>
      <w:tr>
        <w:trPr/>
        <w:tc>
          <w:tcPr>
            <w:tcW w:w="5206" w:type="dxa"/>
            <w:tcBorders/>
            <w:tcMar>
              <w:top w:w="0" w:type="dxa"/>
              <w:left w:w="0" w:type="dxa"/>
              <w:bottom w:w="0" w:type="dxa"/>
              <w:right w:w="0" w:type="dxa"/>
            </w:tcMar>
            <w:vAlign w:val="center"/>
          </w:tcPr>
          <w:p>
            <w:pPr>
              <w:pStyle w:val="TableContents"/>
              <w:bidi w:val="0"/>
              <w:spacing w:before="40" w:after="40"/>
              <w:jc w:val="left"/>
              <w:rPr/>
            </w:pPr>
            <w:hyperlink w:anchor="statements_of_changes_in_net_assets_avai">
              <w:r>
                <w:rPr>
                  <w:rStyle w:val="InternetLink"/>
                  <w:rFonts w:ascii="Times New Roman" w:hAnsi="Times New Roman"/>
                  <w:color w:val="0000FF"/>
                  <w:sz w:val="20"/>
                  <w:u w:val="single"/>
                </w:rPr>
                <w:t>Statements of Changes in Net Assets Available for Benefits</w:t>
              </w:r>
            </w:hyperlink>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563C1"/>
                <w:sz w:val="20"/>
                <w:u w:val="single"/>
              </w:rPr>
            </w:pPr>
            <w:r>
              <w:rPr>
                <w:rFonts w:ascii="Times New Roman" w:hAnsi="Times New Roman"/>
                <w:color w:val="0563C1"/>
                <w:sz w:val="20"/>
                <w:u w:val="single"/>
              </w:rPr>
              <w:t>6</w:t>
            </w:r>
          </w:p>
        </w:tc>
      </w:tr>
      <w:tr>
        <w:trPr/>
        <w:tc>
          <w:tcPr>
            <w:tcW w:w="5206" w:type="dxa"/>
            <w:tcBorders/>
            <w:tcMar>
              <w:top w:w="0" w:type="dxa"/>
              <w:left w:w="0" w:type="dxa"/>
              <w:bottom w:w="0" w:type="dxa"/>
              <w:right w:w="0" w:type="dxa"/>
            </w:tcMar>
            <w:vAlign w:val="center"/>
          </w:tcPr>
          <w:p>
            <w:pPr>
              <w:pStyle w:val="TableContents"/>
              <w:bidi w:val="0"/>
              <w:spacing w:before="40" w:after="40"/>
              <w:jc w:val="left"/>
              <w:rPr/>
            </w:pPr>
            <w:hyperlink w:anchor="notes">
              <w:r>
                <w:rPr>
                  <w:rStyle w:val="InternetLink"/>
                  <w:rFonts w:ascii="Times New Roman" w:hAnsi="Times New Roman"/>
                  <w:color w:val="0000FF"/>
                  <w:sz w:val="20"/>
                  <w:u w:val="single"/>
                </w:rPr>
                <w:t>Notes to Financial Statements</w:t>
              </w:r>
            </w:hyperlink>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563C1"/>
                <w:sz w:val="20"/>
                <w:u w:val="single"/>
              </w:rPr>
            </w:pPr>
            <w:r>
              <w:rPr>
                <w:rFonts w:ascii="Times New Roman" w:hAnsi="Times New Roman"/>
                <w:color w:val="0563C1"/>
                <w:sz w:val="20"/>
                <w:u w:val="single"/>
              </w:rPr>
              <w:t>7</w:t>
            </w:r>
          </w:p>
        </w:tc>
      </w:tr>
      <w:tr>
        <w:trPr/>
        <w:tc>
          <w:tcPr>
            <w:tcW w:w="520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Supplemental Information (Attachment to Form 5500)</w:t>
            </w:r>
          </w:p>
        </w:tc>
        <w:tc>
          <w:tcPr>
            <w:tcW w:w="36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5206" w:type="dxa"/>
            <w:tcBorders/>
            <w:tcMar>
              <w:top w:w="0" w:type="dxa"/>
              <w:left w:w="0" w:type="dxa"/>
              <w:bottom w:w="0" w:type="dxa"/>
              <w:right w:w="0" w:type="dxa"/>
            </w:tcMar>
            <w:vAlign w:val="center"/>
          </w:tcPr>
          <w:p>
            <w:pPr>
              <w:pStyle w:val="TableContents"/>
              <w:bidi w:val="0"/>
              <w:spacing w:before="40" w:after="40"/>
              <w:jc w:val="left"/>
              <w:rPr/>
            </w:pPr>
            <w:hyperlink w:anchor="schedule_h__line_4i_schedule_of_assets">
              <w:r>
                <w:rPr>
                  <w:rStyle w:val="InternetLink"/>
                  <w:rFonts w:ascii="Times New Roman" w:hAnsi="Times New Roman"/>
                  <w:color w:val="0000FF"/>
                  <w:sz w:val="20"/>
                  <w:u w:val="single"/>
                </w:rPr>
                <w:t>Schedule H, Line 4i -- Schedule of Assets (Held at End of Year)</w:t>
              </w:r>
            </w:hyperlink>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563C1"/>
                <w:sz w:val="20"/>
                <w:u w:val="single"/>
              </w:rPr>
            </w:pPr>
            <w:r>
              <w:rPr>
                <w:rFonts w:ascii="Times New Roman" w:hAnsi="Times New Roman"/>
                <w:color w:val="0563C1"/>
                <w:sz w:val="20"/>
                <w:u w:val="single"/>
              </w:rPr>
              <w:t>13</w:t>
            </w:r>
          </w:p>
        </w:tc>
      </w:tr>
      <w:tr>
        <w:trPr/>
        <w:tc>
          <w:tcPr>
            <w:tcW w:w="5206" w:type="dxa"/>
            <w:tcBorders/>
            <w:tcMar>
              <w:top w:w="0" w:type="dxa"/>
              <w:left w:w="0" w:type="dxa"/>
              <w:bottom w:w="0" w:type="dxa"/>
              <w:right w:w="0" w:type="dxa"/>
            </w:tcMar>
            <w:vAlign w:val="center"/>
          </w:tcPr>
          <w:p>
            <w:pPr>
              <w:pStyle w:val="TableContents"/>
              <w:bidi w:val="0"/>
              <w:spacing w:before="40" w:after="40"/>
              <w:jc w:val="left"/>
              <w:rPr/>
            </w:pPr>
            <w:hyperlink w:anchor="exhibit_index">
              <w:r>
                <w:rPr>
                  <w:rStyle w:val="InternetLink"/>
                  <w:rFonts w:ascii="Times New Roman" w:hAnsi="Times New Roman"/>
                  <w:color w:val="0000FF"/>
                  <w:sz w:val="20"/>
                  <w:u w:val="single"/>
                </w:rPr>
                <w:t>Exhibit Index</w:t>
              </w:r>
            </w:hyperlink>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563C1"/>
                <w:sz w:val="20"/>
                <w:u w:val="single"/>
              </w:rPr>
            </w:pPr>
            <w:r>
              <w:rPr>
                <w:rFonts w:ascii="Times New Roman" w:hAnsi="Times New Roman"/>
                <w:color w:val="0563C1"/>
                <w:sz w:val="20"/>
                <w:u w:val="single"/>
              </w:rPr>
              <w:t>14</w:t>
            </w:r>
          </w:p>
        </w:tc>
      </w:tr>
      <w:tr>
        <w:trPr/>
        <w:tc>
          <w:tcPr>
            <w:tcW w:w="5206" w:type="dxa"/>
            <w:tcBorders/>
            <w:tcMar>
              <w:top w:w="0" w:type="dxa"/>
              <w:left w:w="0" w:type="dxa"/>
              <w:bottom w:w="0" w:type="dxa"/>
              <w:right w:w="0" w:type="dxa"/>
            </w:tcMar>
            <w:vAlign w:val="center"/>
          </w:tcPr>
          <w:p>
            <w:pPr>
              <w:pStyle w:val="TableContents"/>
              <w:bidi w:val="0"/>
              <w:spacing w:before="40" w:after="40"/>
              <w:jc w:val="both"/>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563C1"/>
                <w:sz w:val="20"/>
                <w:u w:val="single"/>
              </w:rPr>
            </w:pPr>
            <w:r>
              <w:rPr>
                <w:rFonts w:ascii="Times New Roman" w:hAnsi="Times New Roman"/>
                <w:color w:val="0563C1"/>
                <w:sz w:val="20"/>
                <w:u w:val="single"/>
              </w:rPr>
              <w:t>15</w:t>
            </w:r>
          </w:p>
        </w:tc>
      </w:tr>
    </w:tbl>
    <w:p>
      <w:pPr>
        <w:pStyle w:val="TextBody"/>
        <w:bidi w:val="0"/>
        <w:spacing w:before="18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pPr>
      <w:bookmarkStart w:id="5" w:name="report_of_independent_registered_public_"/>
      <w:bookmarkEnd w:id="5"/>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and Organization Committee and</w:t>
      </w:r>
    </w:p>
    <w:p>
      <w:pPr>
        <w:pStyle w:val="TextBody"/>
        <w:bidi w:val="0"/>
        <w:jc w:val="left"/>
        <w:rPr>
          <w:rFonts w:ascii="Times New Roman" w:hAnsi="Times New Roman"/>
          <w:color w:val="000000"/>
          <w:sz w:val="20"/>
        </w:rPr>
      </w:pPr>
      <w:r>
        <w:rPr>
          <w:rFonts w:ascii="Times New Roman" w:hAnsi="Times New Roman"/>
          <w:color w:val="000000"/>
          <w:sz w:val="20"/>
        </w:rPr>
        <w:t>Benefit Plans Administration Committee and participants of</w:t>
      </w:r>
    </w:p>
    <w:p>
      <w:pPr>
        <w:pStyle w:val="TextBody"/>
        <w:bidi w:val="0"/>
        <w:jc w:val="left"/>
        <w:rPr>
          <w:rFonts w:ascii="Times New Roman" w:hAnsi="Times New Roman"/>
          <w:color w:val="000000"/>
          <w:sz w:val="20"/>
        </w:rPr>
      </w:pPr>
      <w:r>
        <w:rPr>
          <w:rFonts w:ascii="Times New Roman" w:hAnsi="Times New Roman"/>
          <w:color w:val="000000"/>
          <w:sz w:val="20"/>
        </w:rPr>
        <w:t>The Investment and Employee Stock Ownership Plan</w:t>
      </w:r>
    </w:p>
    <w:p>
      <w:pPr>
        <w:pStyle w:val="TextBody"/>
        <w:bidi w:val="0"/>
        <w:jc w:val="left"/>
        <w:rPr>
          <w:rFonts w:ascii="Times New Roman" w:hAnsi="Times New Roman"/>
          <w:color w:val="000000"/>
          <w:sz w:val="20"/>
        </w:rPr>
      </w:pPr>
      <w:r>
        <w:rPr>
          <w:rFonts w:ascii="Times New Roman" w:hAnsi="Times New Roman"/>
          <w:color w:val="000000"/>
          <w:sz w:val="20"/>
        </w:rPr>
        <w:t>of Avista Corporation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statements of net assets available for benefits of The Investment and Employee Stock Ownership Plan of Avista Corporation (the “Plan”) as of December 31, 2025 and 2024,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Supplemental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supplemental information included in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 Baker Tilly US,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Spokane, Washington</w:t>
      </w:r>
    </w:p>
    <w:p>
      <w:pPr>
        <w:pStyle w:val="TextBody"/>
        <w:bidi w:val="0"/>
        <w:jc w:val="left"/>
        <w:rPr>
          <w:rFonts w:ascii="Times New Roman" w:hAnsi="Times New Roman"/>
          <w:color w:val="000000"/>
          <w:sz w:val="20"/>
        </w:rPr>
      </w:pPr>
      <w:r>
        <w:rPr>
          <w:rFonts w:ascii="Times New Roman" w:hAnsi="Times New Roman"/>
          <w:color w:val="000000"/>
          <w:sz w:val="20"/>
        </w:rPr>
        <w:t>June 25,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Plan’s auditor since 2023.</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6" w:name="statements_of_net_assets_available_for_b"/>
      <w:bookmarkEnd w:id="6"/>
      <w:r>
        <w:rPr>
          <w:rFonts w:ascii="Times New Roman" w:hAnsi="Times New Roman"/>
          <w:b/>
          <w:color w:val="000000"/>
          <w:sz w:val="20"/>
        </w:rPr>
        <w:t>THE INVESTMENT AND EMPLOYEE STOCK OWNERSHIP PLAN</w:t>
      </w:r>
    </w:p>
    <w:p>
      <w:pPr>
        <w:pStyle w:val="TextBody"/>
        <w:bidi w:val="0"/>
        <w:jc w:val="left"/>
        <w:rPr>
          <w:rFonts w:ascii="Times New Roman" w:hAnsi="Times New Roman"/>
          <w:b/>
          <w:color w:val="000000"/>
          <w:sz w:val="20"/>
        </w:rPr>
      </w:pPr>
      <w:r>
        <w:rPr>
          <w:rFonts w:ascii="Times New Roman" w:hAnsi="Times New Roman"/>
          <w:b/>
          <w:color w:val="000000"/>
          <w:sz w:val="20"/>
        </w:rPr>
        <w:t>OF AVISTA CORPORATION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STATEMENTS OF NET ASSETS AVAILABLE FOR BENEFITS</w:t>
      </w:r>
    </w:p>
    <w:p>
      <w:pPr>
        <w:pStyle w:val="TextBody"/>
        <w:bidi w:val="0"/>
        <w:jc w:val="left"/>
        <w:rPr>
          <w:rFonts w:ascii="Times New Roman" w:hAnsi="Times New Roman"/>
          <w:b/>
          <w:color w:val="000000"/>
          <w:sz w:val="20"/>
        </w:rPr>
      </w:pPr>
      <w:r>
        <w:rPr>
          <w:rFonts w:ascii="Times New Roman" w:hAnsi="Times New Roman"/>
          <w:b/>
          <w:color w:val="000000"/>
          <w:sz w:val="20"/>
        </w:rPr>
        <w:t>DECEMBER 31, 2025 AND 2024</w:t>
      </w:r>
    </w:p>
    <w:tbl>
      <w:tblPr>
        <w:tblW w:w="6174" w:type="dxa"/>
        <w:jc w:val="left"/>
        <w:tblInd w:w="0" w:type="dxa"/>
        <w:tblLayout w:type="fixed"/>
        <w:tblCellMar>
          <w:top w:w="28" w:type="dxa"/>
          <w:left w:w="28" w:type="dxa"/>
          <w:bottom w:w="28" w:type="dxa"/>
          <w:right w:w="28" w:type="dxa"/>
        </w:tblCellMar>
      </w:tblPr>
      <w:tblGrid>
        <w:gridCol w:w="2841"/>
        <w:gridCol w:w="146"/>
        <w:gridCol w:w="196"/>
        <w:gridCol w:w="1006"/>
        <w:gridCol w:w="146"/>
        <w:gridCol w:w="146"/>
        <w:gridCol w:w="196"/>
        <w:gridCol w:w="1006"/>
        <w:gridCol w:w="4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Avista Corp. Company Stock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19,092,877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16,899,724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Self-Directed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17,395,322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14,943,677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Collective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33,352,373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37,524,876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885,418,068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765,706,391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955,258,640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835,074,668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Employer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674,464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Receivable from Participants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8,209,697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7,717,655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9,173,169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8,392,119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Assets Available for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964,431,809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843,466,787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60" w:after="283"/>
        <w:jc w:val="left"/>
        <w:rPr>
          <w:rFonts w:ascii="Times New Roman" w:hAnsi="Times New Roman"/>
          <w:color w:val="000000"/>
          <w:sz w:val="18"/>
        </w:rPr>
      </w:pPr>
      <w:r>
        <w:rPr>
          <w:rFonts w:ascii="Times New Roman" w:hAnsi="Times New Roman"/>
          <w:color w:val="000000"/>
          <w:sz w:val="18"/>
        </w:rPr>
        <w:t>See accompanying Notes to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7" w:name="statements_of_changes_in_net_assets_avai"/>
      <w:bookmarkEnd w:id="7"/>
      <w:r>
        <w:rPr>
          <w:rFonts w:ascii="Times New Roman" w:hAnsi="Times New Roman"/>
          <w:b/>
          <w:color w:val="000000"/>
          <w:sz w:val="20"/>
        </w:rPr>
        <w:t>THE INVESTMENT AND EMPLOYEE STOCK OWNERSHIP PLAN</w:t>
      </w:r>
    </w:p>
    <w:p>
      <w:pPr>
        <w:pStyle w:val="TextBody"/>
        <w:bidi w:val="0"/>
        <w:jc w:val="left"/>
        <w:rPr>
          <w:rFonts w:ascii="Times New Roman" w:hAnsi="Times New Roman"/>
          <w:b/>
          <w:color w:val="000000"/>
          <w:sz w:val="20"/>
        </w:rPr>
      </w:pPr>
      <w:r>
        <w:rPr>
          <w:rFonts w:ascii="Times New Roman" w:hAnsi="Times New Roman"/>
          <w:b/>
          <w:color w:val="000000"/>
          <w:sz w:val="20"/>
        </w:rPr>
        <w:t>OF AVISTA CORPORATION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STATEMENTS OF CHANGES IN NET ASSETS AVAILABLE FOR BENEFITS</w:t>
      </w:r>
    </w:p>
    <w:p>
      <w:pPr>
        <w:pStyle w:val="TextBody"/>
        <w:bidi w:val="0"/>
        <w:jc w:val="left"/>
        <w:rPr>
          <w:rFonts w:ascii="Times New Roman" w:hAnsi="Times New Roman"/>
          <w:b/>
          <w:color w:val="000000"/>
          <w:sz w:val="20"/>
        </w:rPr>
      </w:pPr>
      <w:r>
        <w:rPr>
          <w:rFonts w:ascii="Times New Roman" w:hAnsi="Times New Roman"/>
          <w:b/>
          <w:color w:val="000000"/>
          <w:sz w:val="20"/>
        </w:rPr>
        <w:t>YEARS ENDED DECEMBER 31, 2025 AND 2024</w:t>
      </w:r>
    </w:p>
    <w:tbl>
      <w:tblPr>
        <w:tblW w:w="7539" w:type="dxa"/>
        <w:jc w:val="left"/>
        <w:tblInd w:w="0" w:type="dxa"/>
        <w:tblLayout w:type="fixed"/>
        <w:tblCellMar>
          <w:top w:w="28" w:type="dxa"/>
          <w:left w:w="28" w:type="dxa"/>
          <w:bottom w:w="28" w:type="dxa"/>
          <w:right w:w="28" w:type="dxa"/>
        </w:tblCellMar>
      </w:tblPr>
      <w:tblGrid>
        <w:gridCol w:w="4306"/>
        <w:gridCol w:w="146"/>
        <w:gridCol w:w="196"/>
        <w:gridCol w:w="1006"/>
        <w:gridCol w:w="146"/>
        <w:gridCol w:w="146"/>
        <w:gridCol w:w="196"/>
        <w:gridCol w:w="1006"/>
        <w:gridCol w:w="3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40,389,472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35,028,025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Appreciation in Fair Value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91,286,941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68,868,128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131,676,413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103,896,153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Interest Income on Notes Receivable from Participants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Employee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27,737,086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25,412,578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Employer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18,503,798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15,914,137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Rollover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3,836,110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2,041,150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50,076,994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43,367,865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Benefits Paid to Participants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60,598,545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54,894,454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784,281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61,439,142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55,678,735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120,965,022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92,136,350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Assets Available for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843,466,787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751,330,437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964,431,809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843,466,787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60" w:after="283"/>
        <w:jc w:val="left"/>
        <w:rPr>
          <w:rFonts w:ascii="Times New Roman" w:hAnsi="Times New Roman"/>
          <w:color w:val="000000"/>
          <w:sz w:val="18"/>
        </w:rPr>
      </w:pPr>
      <w:r>
        <w:rPr>
          <w:rFonts w:ascii="Times New Roman" w:hAnsi="Times New Roman"/>
          <w:color w:val="000000"/>
          <w:sz w:val="18"/>
        </w:rPr>
        <w:t>See accompanying Notes to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8" w:name="notes"/>
      <w:bookmarkEnd w:id="8"/>
      <w:r>
        <w:rPr>
          <w:rFonts w:ascii="Times New Roman" w:hAnsi="Times New Roman"/>
          <w:b/>
          <w:color w:val="000000"/>
          <w:sz w:val="20"/>
        </w:rPr>
        <w:t>NOTE 1. DESCRIPTION OF THE PLAN</w:t>
      </w:r>
    </w:p>
    <w:p>
      <w:pPr>
        <w:pStyle w:val="TextBody"/>
        <w:bidi w:val="0"/>
        <w:jc w:val="left"/>
        <w:rPr>
          <w:rFonts w:ascii="Times New Roman" w:hAnsi="Times New Roman"/>
          <w:color w:val="000000"/>
          <w:sz w:val="20"/>
        </w:rPr>
      </w:pPr>
      <w:r>
        <w:rPr>
          <w:rFonts w:ascii="Times New Roman" w:hAnsi="Times New Roman"/>
          <w:color w:val="000000"/>
          <w:sz w:val="20"/>
        </w:rPr>
        <w:t>The following description of The Investment and Employee Stock Ownership Plan of Avista Corporation (the Plan) provides only general information. Participants should refer to the Plan document for a more complete description of the Plan’s provisions.</w:t>
      </w:r>
    </w:p>
    <w:p>
      <w:pPr>
        <w:pStyle w:val="TextBody"/>
        <w:bidi w:val="0"/>
        <w:jc w:val="left"/>
        <w:rPr>
          <w:rFonts w:ascii="Times New Roman" w:hAnsi="Times New Roman"/>
          <w:b/>
          <w:i/>
          <w:color w:val="000000"/>
          <w:sz w:val="20"/>
        </w:rPr>
      </w:pPr>
      <w:r>
        <w:rPr>
          <w:rFonts w:ascii="Times New Roman" w:hAnsi="Times New Roman"/>
          <w:b/>
          <w:i/>
          <w:color w:val="000000"/>
          <w:sz w:val="20"/>
        </w:rPr>
        <w:t>General</w:t>
      </w:r>
    </w:p>
    <w:p>
      <w:pPr>
        <w:pStyle w:val="TextBody"/>
        <w:bidi w:val="0"/>
        <w:jc w:val="left"/>
        <w:rPr>
          <w:rFonts w:ascii="Times New Roman" w:hAnsi="Times New Roman"/>
          <w:color w:val="000000"/>
          <w:sz w:val="20"/>
        </w:rPr>
      </w:pPr>
      <w:r>
        <w:rPr>
          <w:rFonts w:ascii="Times New Roman" w:hAnsi="Times New Roman"/>
          <w:color w:val="000000"/>
          <w:sz w:val="20"/>
        </w:rPr>
        <w:t>Effective January 1, 1984, Avista Corporation (Corporation, Company or Avista) established an Employee Investment Plan under Section 401(k) of the Internal Revenue Code (IRC). The Plan, which was restated effective January 1, 2016, and most recently amended effective December 16, 2024, is a defined contribution plan which is subject to the provisions of the Employee Retirement Income Security Act of 1974 (ERISA) and all statutory revisions thereto. The purpose of the Plan, in which participation is voluntary, is to encourage employees to systematically save a portion of their compensation and to supplement their savings with contributions from Avista. All employees of Avista are eligible to participate in the Plan after their first pay period following employment. Students, leased employees, and collectively bargained employees (other than collectively bargained employees whose employment is subject to the terms of a collective bargaining agreement which provides for participation in the Plan) are ineligible to participate in the Plan.</w:t>
      </w:r>
    </w:p>
    <w:p>
      <w:pPr>
        <w:pStyle w:val="TextBody"/>
        <w:bidi w:val="0"/>
        <w:jc w:val="left"/>
        <w:rPr>
          <w:rFonts w:ascii="Times New Roman" w:hAnsi="Times New Roman"/>
          <w:b/>
          <w:i/>
          <w:color w:val="000000"/>
          <w:sz w:val="20"/>
        </w:rPr>
      </w:pPr>
      <w:r>
        <w:rPr>
          <w:rFonts w:ascii="Times New Roman" w:hAnsi="Times New Roman"/>
          <w:b/>
          <w:i/>
          <w:color w:val="000000"/>
          <w:sz w:val="20"/>
        </w:rPr>
        <w:t>Contributions</w:t>
      </w:r>
    </w:p>
    <w:p>
      <w:pPr>
        <w:pStyle w:val="TextBody"/>
        <w:bidi w:val="0"/>
        <w:jc w:val="left"/>
        <w:rPr>
          <w:rFonts w:ascii="Times New Roman" w:hAnsi="Times New Roman"/>
          <w:color w:val="000000"/>
          <w:sz w:val="20"/>
        </w:rPr>
      </w:pPr>
      <w:r>
        <w:rPr>
          <w:rFonts w:ascii="Times New Roman" w:hAnsi="Times New Roman"/>
          <w:color w:val="000000"/>
          <w:sz w:val="20"/>
        </w:rPr>
        <w:t>Plan participants may make contributions during any payroll period for which they receive earnings as eligible employees in an amount at least equal to 1% of their earnings. A participating employee’s annual before-tax contribution was subject to IRC limitations of $23,500 in 2025 and $23,000 in 2024. Participants who have attained age 50 before the end of the Plan year are eligible to make catch-up contributions. Participants may also contribute amounts representing distributions from other qualified defined benefit or defined contribution plans, subject to IRC limits. Employee contributions represent tax-deferred compensation and Roth 401(k) after tax compensation and may be invested in the employee’s choice of various fund options (each with a different investment objective and risk) in the combination specified by the employee. Employee contributions are made by payroll deduction and transferred to the Plan Trustee as soon as practicable following the payroll period in which such amounts are withheld.</w:t>
      </w:r>
    </w:p>
    <w:p>
      <w:pPr>
        <w:pStyle w:val="TextBody"/>
        <w:bidi w:val="0"/>
        <w:jc w:val="left"/>
        <w:rPr>
          <w:rFonts w:ascii="Times New Roman" w:hAnsi="Times New Roman"/>
          <w:color w:val="000000"/>
          <w:sz w:val="20"/>
        </w:rPr>
      </w:pPr>
      <w:r>
        <w:rPr>
          <w:rFonts w:ascii="Times New Roman" w:hAnsi="Times New Roman"/>
          <w:color w:val="000000"/>
          <w:sz w:val="20"/>
        </w:rPr>
        <w:t xml:space="preserve">Plan participants hired prior to April 1, 2022 are automatically enrolled in the Plan upon eligibility at a 3% deferral rate, with an automatic increase of 1% each year up to 15%.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Plan participants hired on or after April 1, 2022 are automatically enrolled in the Plan upon eligibility at a 6% deferral rate, with an automatic increase of 1% each year up to 15%.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Participants can opt out of the Plan at any time. Participants can change their deferral rate at any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Plan participants may transfer balances from other qualified defined benefit or defined contribution plans, and certain eligible retirement plans and accounts to the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Avista has an obligation to the trust fund for an amount equal to a percentage of employee contributions determined by the hire date of the employee.</w:t>
      </w:r>
    </w:p>
    <w:p>
      <w:pPr>
        <w:pStyle w:val="TextBody"/>
        <w:bidi w:val="0"/>
        <w:jc w:val="left"/>
        <w:rPr>
          <w:rFonts w:ascii="Times New Roman" w:hAnsi="Times New Roman"/>
          <w:color w:val="000000"/>
          <w:sz w:val="20"/>
        </w:rPr>
      </w:pPr>
      <w:r>
        <w:rPr>
          <w:rFonts w:ascii="Times New Roman" w:hAnsi="Times New Roman"/>
          <w:color w:val="000000"/>
          <w:sz w:val="20"/>
        </w:rPr>
        <w:t>All non-collectively bargained employees and Local 659 employees hired prior to January 1, 2006, and Local 77 employees hired prior to January 1, 2011, receive a matching contribution of 75% of employee contributions that does not exceed 6% of the employee’s salary.</w:t>
      </w:r>
    </w:p>
    <w:p>
      <w:pPr>
        <w:pStyle w:val="TextBody"/>
        <w:bidi w:val="0"/>
        <w:jc w:val="left"/>
        <w:rPr>
          <w:rFonts w:ascii="Times New Roman" w:hAnsi="Times New Roman"/>
          <w:color w:val="000000"/>
          <w:sz w:val="20"/>
        </w:rPr>
      </w:pPr>
      <w:r>
        <w:rPr>
          <w:rFonts w:ascii="Times New Roman" w:hAnsi="Times New Roman"/>
          <w:color w:val="000000"/>
          <w:sz w:val="20"/>
        </w:rPr>
        <w:t>All non-collectively bargained employees and Local 659 employees hired on or after January 1, 2006, and Local 77 employees hired on or after January 1, 2011, receive a matching contribution of 100% of employee contributions that does not exceed 6% of the employee’s salary.</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Further, all non-collectively bargained employees hired on or after January 1, 2014, Local 659 employees hired on or after April 1, 2014, Local 77 employees hired on or after April 1, 2017 as a Distribution Dispatcher or Gas Controller from outside Avista or who is ineligible to participate in the Retirement Plan for Employees of Avista Corporation, Local 77 members hired on or after January 1, 2024, and any participant who elected to waive participation in the Retirement Plan for Employees of Avista Corporation as of July 1, 2024, receive an additional non-elective employer contribution based on the employee’s age. The table below illustrates the non-elective contribution rate assigned to the established age groups.</w:t>
      </w:r>
    </w:p>
    <w:tbl>
      <w:tblPr>
        <w:tblW w:w="5138" w:type="dxa"/>
        <w:jc w:val="left"/>
        <w:tblInd w:w="0" w:type="dxa"/>
        <w:tblLayout w:type="fixed"/>
        <w:tblCellMar>
          <w:top w:w="28" w:type="dxa"/>
          <w:left w:w="28" w:type="dxa"/>
          <w:bottom w:w="28" w:type="dxa"/>
          <w:right w:w="28" w:type="dxa"/>
        </w:tblCellMar>
      </w:tblPr>
      <w:tblGrid>
        <w:gridCol w:w="1521"/>
        <w:gridCol w:w="146"/>
        <w:gridCol w:w="347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5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Contribution as a Percentage of Eligible Pay</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Younger than 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3%</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40-49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4%</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50 or Older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Local 77 members hired on or after January 1, 2024, or who waived participation in the Retirement Plan for Employees of Avista Corporation who are not Distribution Operators, Gas Controllers, or non-collectively bargained employees are also eligible for an additional Employer non-elective contribution equal to 5% of eligible compensation. Remaining Local 77 employees are eligible for the additional non-elective contribution equal to 5% of eligible compensation as of December 16,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matching contributions are made in the form of cash that is invested as directed by participants from among the investment options offered under the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employees who transfer or have transferred from a Local 77 employee directly to non-Local 77 employee on or after January 1, 2014, other than those Local 77 employees hired on or after April 1, 2017 as a Distribution Dispatcher or Gas Controller from outside Avista or who is ineligible to participate in the Retirement Plan for Employees of Avista Corporation, are not eligible for the additional non-elective employer contributions.</w:t>
      </w:r>
    </w:p>
    <w:p>
      <w:pPr>
        <w:pStyle w:val="TextBody"/>
        <w:bidi w:val="0"/>
        <w:jc w:val="left"/>
        <w:rPr>
          <w:rFonts w:ascii="Times New Roman" w:hAnsi="Times New Roman"/>
          <w:b/>
          <w:i/>
          <w:color w:val="000000"/>
          <w:sz w:val="20"/>
        </w:rPr>
      </w:pPr>
      <w:r>
        <w:rPr>
          <w:rFonts w:ascii="Times New Roman" w:hAnsi="Times New Roman"/>
          <w:b/>
          <w:i/>
          <w:color w:val="000000"/>
          <w:sz w:val="20"/>
        </w:rPr>
        <w:t>Participant Accounts</w:t>
      </w:r>
    </w:p>
    <w:p>
      <w:pPr>
        <w:pStyle w:val="TextBody"/>
        <w:bidi w:val="0"/>
        <w:jc w:val="left"/>
        <w:rPr>
          <w:rFonts w:ascii="Times New Roman" w:hAnsi="Times New Roman"/>
          <w:color w:val="000000"/>
          <w:sz w:val="20"/>
        </w:rPr>
      </w:pPr>
      <w:r>
        <w:rPr>
          <w:rFonts w:ascii="Times New Roman" w:hAnsi="Times New Roman"/>
          <w:color w:val="000000"/>
          <w:sz w:val="20"/>
        </w:rPr>
        <w:t>Each participant’s account is credited with the participant’s contribution and allocations of (a) the Company’s contribution and (b) Plan earnings or losses, and charged with an allocation of administrative expenses. Allocations are based on participant earnings or account balances, as defined. The benefit to which a participant is entitled is the benefit that can be provided from the participant’s vested account.</w:t>
      </w:r>
    </w:p>
    <w:p>
      <w:pPr>
        <w:pStyle w:val="TextBody"/>
        <w:bidi w:val="0"/>
        <w:jc w:val="left"/>
        <w:rPr>
          <w:rFonts w:ascii="Times New Roman" w:hAnsi="Times New Roman"/>
          <w:b/>
          <w:i/>
          <w:color w:val="000000"/>
          <w:sz w:val="20"/>
        </w:rPr>
      </w:pPr>
      <w:r>
        <w:rPr>
          <w:rFonts w:ascii="Times New Roman" w:hAnsi="Times New Roman"/>
          <w:b/>
          <w:i/>
          <w:color w:val="000000"/>
          <w:sz w:val="20"/>
        </w:rPr>
        <w:t>Vesting</w:t>
      </w:r>
    </w:p>
    <w:p>
      <w:pPr>
        <w:pStyle w:val="TextBody"/>
        <w:bidi w:val="0"/>
        <w:jc w:val="left"/>
        <w:rPr>
          <w:rFonts w:ascii="Times New Roman" w:hAnsi="Times New Roman"/>
          <w:color w:val="000000"/>
          <w:sz w:val="20"/>
        </w:rPr>
      </w:pPr>
      <w:r>
        <w:rPr>
          <w:rFonts w:ascii="Times New Roman" w:hAnsi="Times New Roman"/>
          <w:color w:val="000000"/>
          <w:sz w:val="20"/>
        </w:rPr>
        <w:t>Participant contributions are 100% vested at all times. Participants vest 100% in the Company matching contribution after one year of service or upon death, disability or reaching normal retirement age. Participants vest 100% in the non-elective employer contribution after three years of service or upon death, disability or reaching normal retirement age.</w:t>
      </w:r>
    </w:p>
    <w:p>
      <w:pPr>
        <w:pStyle w:val="TextBody"/>
        <w:bidi w:val="0"/>
        <w:jc w:val="left"/>
        <w:rPr>
          <w:rFonts w:ascii="Times New Roman" w:hAnsi="Times New Roman"/>
          <w:b/>
          <w:i/>
          <w:color w:val="000000"/>
          <w:sz w:val="20"/>
        </w:rPr>
      </w:pPr>
      <w:r>
        <w:rPr>
          <w:rFonts w:ascii="Times New Roman" w:hAnsi="Times New Roman"/>
          <w:b/>
          <w:i/>
          <w:color w:val="000000"/>
          <w:sz w:val="20"/>
        </w:rPr>
        <w:t>Notes Receivable from Participants</w:t>
      </w:r>
    </w:p>
    <w:p>
      <w:pPr>
        <w:pStyle w:val="TextBody"/>
        <w:bidi w:val="0"/>
        <w:jc w:val="left"/>
        <w:rPr>
          <w:rFonts w:ascii="Times New Roman" w:hAnsi="Times New Roman"/>
          <w:color w:val="000000"/>
          <w:sz w:val="20"/>
        </w:rPr>
      </w:pPr>
      <w:r>
        <w:rPr>
          <w:rFonts w:ascii="Times New Roman" w:hAnsi="Times New Roman"/>
          <w:color w:val="000000"/>
          <w:sz w:val="20"/>
        </w:rPr>
        <w:t>Participants may borrow from their fund accounts a minimum of $1,000 up to a maximum equal to the lesser of $50,000 or 50% of their vested account balance. Principal and interest is paid ratably through payroll deductions. The notes are secured by the balance in the participant’s account and bear interest at a rate of prime rate plus 1%. The maximum term of a general loan is five years, and the maximum term of a primary residence loan is 10 years. Interest rates ranged from 4.25% to 9.50% at December 31, 2025, for loans maturing through 2034.</w:t>
      </w:r>
    </w:p>
    <w:p>
      <w:pPr>
        <w:pStyle w:val="TextBody"/>
        <w:bidi w:val="0"/>
        <w:jc w:val="left"/>
        <w:rPr>
          <w:rFonts w:ascii="Times New Roman" w:hAnsi="Times New Roman"/>
          <w:b/>
          <w:i/>
          <w:color w:val="000000"/>
          <w:sz w:val="20"/>
        </w:rPr>
      </w:pPr>
      <w:r>
        <w:rPr>
          <w:rFonts w:ascii="Times New Roman" w:hAnsi="Times New Roman"/>
          <w:b/>
          <w:i/>
          <w:color w:val="000000"/>
          <w:sz w:val="20"/>
        </w:rPr>
        <w:t>Payment of Benefits</w:t>
      </w:r>
    </w:p>
    <w:p>
      <w:pPr>
        <w:pStyle w:val="TextBody"/>
        <w:bidi w:val="0"/>
        <w:jc w:val="left"/>
        <w:rPr>
          <w:rFonts w:ascii="Times New Roman" w:hAnsi="Times New Roman"/>
          <w:color w:val="000000"/>
          <w:sz w:val="20"/>
        </w:rPr>
      </w:pPr>
      <w:r>
        <w:rPr>
          <w:rFonts w:ascii="Times New Roman" w:hAnsi="Times New Roman"/>
          <w:color w:val="000000"/>
          <w:sz w:val="20"/>
        </w:rPr>
        <w:t>Distributions to participants are permitted for termination, retirement, death, disability, or financial hardship. A participant with a financial hardship which imposes an immediate and heavy financial need that cannot be reasonably met by other sources may withdraw a portion of their account balance subject to provisions of the Plan. Distributions due to termination shall commence as soon as administratively feasible following the date a participant terminates employment. Distributions may be made in a lump sum, partial lump sum, equal annual installments over a period not to exceed 3 years, or monthly installments over not more than 15 years. If the vested amount is less than $1,000, the account is paid in a lump-sum payment to the participant within a reasonable time frame. If the vested amount is more than $1,000, the participant must consent to the distribution before it may be made.</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Forfeited Accounts</w:t>
      </w:r>
    </w:p>
    <w:p>
      <w:pPr>
        <w:pStyle w:val="TextBody"/>
        <w:bidi w:val="0"/>
        <w:jc w:val="left"/>
        <w:rPr>
          <w:rFonts w:ascii="Times New Roman" w:hAnsi="Times New Roman"/>
          <w:color w:val="000000"/>
          <w:sz w:val="20"/>
        </w:rPr>
      </w:pPr>
      <w:r>
        <w:rPr>
          <w:rFonts w:ascii="Times New Roman" w:hAnsi="Times New Roman"/>
          <w:color w:val="000000"/>
          <w:sz w:val="20"/>
        </w:rPr>
        <w:t>At December 31, 2025 and 2024, forfeited non-vested accounts totaled $86,951 and $296,568, respectively. These accounts are used first to restore accounts for returning participants, and then are used to reduce the Company’s obligations to make contributions under the Plan. If there are any excess forfeitures after the Company makes matching contributions, the excess amount may be used to pay administrative expenses under the Plan. In 2025 and 2024, forfeitures in the amount of $165,027 and $1,752 were used to reduce employer contributions.</w:t>
      </w:r>
    </w:p>
    <w:p>
      <w:pPr>
        <w:pStyle w:val="TextBody"/>
        <w:bidi w:val="0"/>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jc w:val="left"/>
        <w:rPr>
          <w:rFonts w:ascii="Times New Roman" w:hAnsi="Times New Roman"/>
          <w:color w:val="000000"/>
          <w:sz w:val="20"/>
        </w:rPr>
      </w:pPr>
      <w:r>
        <w:rPr>
          <w:rFonts w:ascii="Times New Roman" w:hAnsi="Times New Roman"/>
          <w:color w:val="000000"/>
          <w:sz w:val="20"/>
        </w:rPr>
        <w:t>Each participant is entitled to exercise voting rights attributable to the shares allocated to their account and is notified by the Trustee prior to the time such rights are to be exercised. The Trustee will vote any shares on which such instructions have not been received, as well as unallocated shares, proportionately in the same manner as Avista Corporation Common Stock for which the Trustee received voting instructions, unless the Trustee determines that to do so would not be consistent with ERISA or a voting participant elects not to have their vote be used in this manner, in which case the Trustee will vote the non-voted or unallocated Avista Corporation Common Stock in a manner consistent with ERISA. Fractional shares will be combined to the largest number of whole shares and voted by the Trustee to the extent possible to reflect the voting direction of whole shares by the participants holding fractional shares.</w:t>
      </w:r>
    </w:p>
    <w:p>
      <w:pPr>
        <w:pStyle w:val="TextBody"/>
        <w:bidi w:val="0"/>
        <w:jc w:val="left"/>
        <w:rPr>
          <w:rFonts w:ascii="Times New Roman" w:hAnsi="Times New Roman"/>
          <w:b/>
          <w:i/>
          <w:color w:val="000000"/>
          <w:sz w:val="20"/>
        </w:rPr>
      </w:pPr>
      <w:r>
        <w:rPr>
          <w:rFonts w:ascii="Times New Roman" w:hAnsi="Times New Roman"/>
          <w:b/>
          <w:i/>
          <w:color w:val="000000"/>
          <w:sz w:val="20"/>
        </w:rPr>
        <w:t>Diversification</w:t>
      </w:r>
    </w:p>
    <w:p>
      <w:pPr>
        <w:pStyle w:val="TextBody"/>
        <w:bidi w:val="0"/>
        <w:jc w:val="left"/>
        <w:rPr>
          <w:rFonts w:ascii="Times New Roman" w:hAnsi="Times New Roman"/>
          <w:color w:val="000000"/>
          <w:sz w:val="20"/>
        </w:rPr>
      </w:pPr>
      <w:r>
        <w:rPr>
          <w:rFonts w:ascii="Times New Roman" w:hAnsi="Times New Roman"/>
          <w:color w:val="000000"/>
          <w:sz w:val="20"/>
        </w:rPr>
        <w:t>Diversification is offered to participants to provide the opportunity to move the value of their investment in the Avista Corporation Common Stock into investments which are more diversified. Participants are entitled to make an election to diversify up to 100% of the value of the Avista Corporation Common Stock held in their Employee Stock Ownership Plan (ESOP) account.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Ownership Plan (ESOP)</w:t>
      </w:r>
    </w:p>
    <w:p>
      <w:pPr>
        <w:pStyle w:val="TextBody"/>
        <w:bidi w:val="0"/>
        <w:jc w:val="left"/>
        <w:rPr>
          <w:rFonts w:ascii="Times New Roman" w:hAnsi="Times New Roman"/>
          <w:color w:val="000000"/>
          <w:sz w:val="20"/>
        </w:rPr>
      </w:pPr>
      <w:r>
        <w:rPr>
          <w:rFonts w:ascii="Times New Roman" w:hAnsi="Times New Roman"/>
          <w:color w:val="000000"/>
          <w:sz w:val="20"/>
        </w:rPr>
        <w:t>Effective January 1, 2006, the Avista Corporation Company Stock Fund was designated an ESOP. Employer and employee contributions into Avista Corporation Common Stock are classified as ESOP contributions.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jc w:val="left"/>
        <w:rPr>
          <w:rFonts w:ascii="Times New Roman" w:hAnsi="Times New Roman"/>
          <w:b/>
          <w:i/>
          <w:color w:val="000000"/>
          <w:sz w:val="20"/>
        </w:rPr>
      </w:pPr>
      <w:r>
        <w:rPr>
          <w:rFonts w:ascii="Times New Roman" w:hAnsi="Times New Roman"/>
          <w:b/>
          <w:i/>
          <w:color w:val="000000"/>
          <w:sz w:val="20"/>
        </w:rPr>
        <w:t>Basis of Accounting</w:t>
      </w:r>
    </w:p>
    <w:p>
      <w:pPr>
        <w:pStyle w:val="TextBody"/>
        <w:bidi w:val="0"/>
        <w:jc w:val="left"/>
        <w:rPr>
          <w:rFonts w:ascii="Times New Roman" w:hAnsi="Times New Roman"/>
          <w:color w:val="000000"/>
          <w:sz w:val="20"/>
        </w:rPr>
      </w:pPr>
      <w:r>
        <w:rPr>
          <w:rFonts w:ascii="Times New Roman" w:hAnsi="Times New Roman"/>
          <w:color w:val="000000"/>
          <w:sz w:val="20"/>
        </w:rPr>
        <w:t>The accounting records of the Plan are maintained on the accrual basis of accounting in accordance with accounting principles generally accepted in the United States of America.</w:t>
      </w:r>
    </w:p>
    <w:p>
      <w:pPr>
        <w:pStyle w:val="TextBody"/>
        <w:bidi w:val="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conformity with generally accepted accounting principles requires management to make estimates and assumptions that affect the reported amounts of assets and liabilities and changes therein, and disclosure of contingent assets and liabilities at the date of the financial statements. Actual results could differ from those estimates.</w:t>
      </w:r>
    </w:p>
    <w:p>
      <w:pPr>
        <w:pStyle w:val="TextBody"/>
        <w:bidi w:val="0"/>
        <w:jc w:val="left"/>
        <w:rPr>
          <w:rFonts w:ascii="Times New Roman" w:hAnsi="Times New Roman"/>
          <w:b/>
          <w:i/>
          <w:color w:val="000000"/>
          <w:sz w:val="20"/>
        </w:rPr>
      </w:pPr>
      <w:r>
        <w:rPr>
          <w:rFonts w:ascii="Times New Roman" w:hAnsi="Times New Roman"/>
          <w:b/>
          <w:i/>
          <w:color w:val="000000"/>
          <w:sz w:val="20"/>
        </w:rPr>
        <w:t>Investment Valuation and Income Recognition</w:t>
      </w:r>
    </w:p>
    <w:p>
      <w:pPr>
        <w:pStyle w:val="TextBody"/>
        <w:bidi w:val="0"/>
        <w:jc w:val="left"/>
        <w:rPr>
          <w:rFonts w:ascii="Times New Roman" w:hAnsi="Times New Roman"/>
          <w:color w:val="000000"/>
          <w:sz w:val="20"/>
        </w:rPr>
      </w:pPr>
      <w:r>
        <w:rPr>
          <w:rFonts w:ascii="Times New Roman" w:hAnsi="Times New Roman"/>
          <w:color w:val="000000"/>
          <w:sz w:val="20"/>
        </w:rPr>
        <w:t>The Plan’s investments are reported at fair value. Fair value is the price that would be received to sell an asset or paid to transfer a liability in an orderly transaction between market participants at the measurement date. The Plan’s Benefit Plan Administration Committee determines the Plan’s valuation policies utilizing information provided by the investment advisors and custodian. See Note 3 for discussion of fair value measurements.</w:t>
      </w:r>
    </w:p>
    <w:p>
      <w:pPr>
        <w:pStyle w:val="TextBody"/>
        <w:bidi w:val="0"/>
        <w:jc w:val="left"/>
        <w:rPr>
          <w:rFonts w:ascii="Times New Roman" w:hAnsi="Times New Roman"/>
          <w:color w:val="000000"/>
          <w:sz w:val="20"/>
        </w:rPr>
      </w:pPr>
      <w:r>
        <w:rPr>
          <w:rFonts w:ascii="Times New Roman" w:hAnsi="Times New Roman"/>
          <w:color w:val="000000"/>
          <w:sz w:val="20"/>
        </w:rPr>
        <w:t>Purchases and sales are recorded on a trade-date basis. Interest income is recorded on the accrual basis. Dividends are recorded on the ex-dividend date. Net appreciation and depreciation includes the Plan’s realized gains and losses and the unrealized appreciation and depreciation of investments.</w:t>
      </w:r>
    </w:p>
    <w:p>
      <w:pPr>
        <w:pStyle w:val="TextBody"/>
        <w:bidi w:val="0"/>
        <w:jc w:val="left"/>
        <w:rPr>
          <w:rFonts w:ascii="Times New Roman" w:hAnsi="Times New Roman"/>
          <w:b/>
          <w:i/>
          <w:color w:val="000000"/>
          <w:sz w:val="20"/>
        </w:rPr>
      </w:pPr>
      <w:r>
        <w:rPr>
          <w:rFonts w:ascii="Times New Roman" w:hAnsi="Times New Roman"/>
          <w:b/>
          <w:i/>
          <w:color w:val="000000"/>
          <w:sz w:val="20"/>
        </w:rPr>
        <w:t>Benefit Payments</w:t>
      </w:r>
    </w:p>
    <w:p>
      <w:pPr>
        <w:pStyle w:val="TextBody"/>
        <w:bidi w:val="0"/>
        <w:jc w:val="left"/>
        <w:rPr>
          <w:rFonts w:ascii="Times New Roman" w:hAnsi="Times New Roman"/>
          <w:color w:val="000000"/>
          <w:sz w:val="20"/>
        </w:rPr>
      </w:pPr>
      <w:r>
        <w:rPr>
          <w:rFonts w:ascii="Times New Roman" w:hAnsi="Times New Roman"/>
          <w:color w:val="000000"/>
          <w:sz w:val="20"/>
        </w:rPr>
        <w:t>Benefits are recorded when paid.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i/>
          <w:color w:val="000000"/>
          <w:sz w:val="20"/>
        </w:rPr>
      </w:pPr>
      <w:r>
        <w:rPr>
          <w:rFonts w:ascii="Times New Roman" w:hAnsi="Times New Roman"/>
          <w:b/>
          <w:i/>
          <w:color w:val="000000"/>
          <w:sz w:val="20"/>
        </w:rPr>
        <w:t>Notes Receivable from Participants</w:t>
      </w:r>
    </w:p>
    <w:p>
      <w:pPr>
        <w:pStyle w:val="TextBody"/>
        <w:bidi w:val="0"/>
        <w:jc w:val="left"/>
        <w:rPr>
          <w:rFonts w:ascii="Times New Roman" w:hAnsi="Times New Roman"/>
          <w:color w:val="000000"/>
          <w:sz w:val="20"/>
        </w:rPr>
      </w:pPr>
      <w:r>
        <w:rPr>
          <w:rFonts w:ascii="Times New Roman" w:hAnsi="Times New Roman"/>
          <w:color w:val="000000"/>
          <w:sz w:val="20"/>
        </w:rPr>
        <w:t>Notes receivable from participants are measured at their unpaid principal balance plus any accrued but unpaid interest. Interest income is recorded on the accrual basis. Related fees are recorded as administrative expenses and are expensed when they are incurred. No allowance for credit losses was recorded as of December 31, 2025 or 2024. If a participant ceases to make note repayments and the Plan administrator deems the participant note to be in default, the participant note balance is reduced and a benefit payment is recorded based on the terms of the Plan document.</w:t>
      </w:r>
    </w:p>
    <w:p>
      <w:pPr>
        <w:pStyle w:val="TextBody"/>
        <w:bidi w:val="0"/>
        <w:jc w:val="left"/>
        <w:rPr>
          <w:rFonts w:ascii="Times New Roman" w:hAnsi="Times New Roman"/>
          <w:b/>
          <w:i/>
          <w:color w:val="000000"/>
          <w:sz w:val="20"/>
        </w:rPr>
      </w:pPr>
      <w:r>
        <w:rPr>
          <w:rFonts w:ascii="Times New Roman" w:hAnsi="Times New Roman"/>
          <w:b/>
          <w:i/>
          <w:color w:val="000000"/>
          <w:sz w:val="20"/>
        </w:rPr>
        <w:t>Administrative Expenses</w:t>
      </w:r>
    </w:p>
    <w:p>
      <w:pPr>
        <w:pStyle w:val="TextBody"/>
        <w:bidi w:val="0"/>
        <w:jc w:val="left"/>
        <w:rPr>
          <w:rFonts w:ascii="Times New Roman" w:hAnsi="Times New Roman"/>
          <w:color w:val="000000"/>
          <w:sz w:val="20"/>
        </w:rPr>
      </w:pPr>
      <w:r>
        <w:rPr>
          <w:rFonts w:ascii="Times New Roman" w:hAnsi="Times New Roman"/>
          <w:color w:val="000000"/>
          <w:sz w:val="20"/>
        </w:rPr>
        <w:t>The Plan’s expenses are paid either by the Plan or the Company, as provided by the Plan document. Expenses paid by the Company are excluded from these financial statements. Certain expenses incurred in connection with the general administration of the Plan paid by the Plan are recorded as deductions in the accompanying statements of changes in net assets available for benefits. Fees related to the administration of notes receivable from participants and benefit payments are charged directly to the participant’s account and are included in administrative expense.</w:t>
      </w:r>
    </w:p>
    <w:p>
      <w:pPr>
        <w:pStyle w:val="TextBody"/>
        <w:bidi w:val="0"/>
        <w:jc w:val="left"/>
        <w:rPr>
          <w:rFonts w:ascii="Times New Roman" w:hAnsi="Times New Roman"/>
          <w:b/>
          <w:i/>
          <w:color w:val="000000"/>
          <w:sz w:val="20"/>
        </w:rPr>
      </w:pPr>
      <w:r>
        <w:rPr>
          <w:rFonts w:ascii="Times New Roman" w:hAnsi="Times New Roman"/>
          <w:b/>
          <w:i/>
          <w:color w:val="000000"/>
          <w:sz w:val="20"/>
        </w:rPr>
        <w:t>Subsequent Events</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12, 2025, the Plan amended provisions to allow for Roth in-plan conversions, traditional after-tax contributions, and Qualified Disaster Recovery Distributions, effective January 1,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than the amendment disclosed above, the plan administrator evaluated events and transactions occurring after the date of the statement of net assets through the date the financial statements were issued, and noted no events subject to recognition or disclosure.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FAIR VALUE OF INVESTMENTS</w:t>
      </w:r>
    </w:p>
    <w:p>
      <w:pPr>
        <w:pStyle w:val="TextBody"/>
        <w:bidi w:val="0"/>
        <w:jc w:val="left"/>
        <w:rPr>
          <w:rFonts w:ascii="Times New Roman" w:hAnsi="Times New Roman"/>
          <w:color w:val="000000"/>
          <w:sz w:val="20"/>
        </w:rPr>
      </w:pPr>
      <w:r>
        <w:rPr>
          <w:rFonts w:ascii="Times New Roman" w:hAnsi="Times New Roman"/>
          <w:color w:val="000000"/>
          <w:sz w:val="20"/>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are described as follows:</w:t>
      </w:r>
    </w:p>
    <w:p>
      <w:pPr>
        <w:pStyle w:val="TextBody"/>
        <w:bidi w:val="0"/>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Inputs to the valuation methodology are unadjusted quoted prices for identical assets or liabilities in active markets the Plan can access.</w:t>
      </w:r>
    </w:p>
    <w:p>
      <w:pPr>
        <w:pStyle w:val="TextBody"/>
        <w:bidi w:val="0"/>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Inputs other than quoted prices included within Level 1 that are observable for the asset or liability, either directly or indirectly,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quoted prices for similar assets or liabilities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quoted prices for identical or similar assets or liabilities in inactive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inputs other than quoted prices observable for the asset or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inputs derived principally from or corroborated by observable market data by correlation or other means.</w:t>
      </w:r>
    </w:p>
    <w:p>
      <w:pPr>
        <w:pStyle w:val="TextBody"/>
        <w:bidi w:val="0"/>
        <w:jc w:val="left"/>
        <w:rPr>
          <w:rFonts w:ascii="Times New Roman" w:hAnsi="Times New Roman"/>
          <w:color w:val="000000"/>
          <w:sz w:val="20"/>
        </w:rPr>
      </w:pPr>
      <w:r>
        <w:rPr>
          <w:rFonts w:ascii="Times New Roman" w:hAnsi="Times New Roman"/>
          <w:color w:val="000000"/>
          <w:sz w:val="20"/>
        </w:rPr>
        <w:t>If the asset or liability has a specified (contractual) term, the Level 2 input must be observable for substantially the full term of the asset or liability.</w:t>
      </w:r>
    </w:p>
    <w:p>
      <w:pPr>
        <w:pStyle w:val="TextBody"/>
        <w:bidi w:val="0"/>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Inputs to the valuation methodology are unobservable and significant to the fair value measurement.</w:t>
      </w:r>
    </w:p>
    <w:p>
      <w:pPr>
        <w:pStyle w:val="TextBody"/>
        <w:bidi w:val="0"/>
        <w:jc w:val="left"/>
        <w:rPr>
          <w:rFonts w:ascii="Times New Roman" w:hAnsi="Times New Roman"/>
          <w:color w:val="000000"/>
          <w:sz w:val="20"/>
        </w:rPr>
      </w:pPr>
      <w:r>
        <w:rPr>
          <w:rFonts w:ascii="Times New Roman" w:hAnsi="Times New Roman"/>
          <w:color w:val="000000"/>
          <w:sz w:val="20"/>
        </w:rPr>
        <w:t>The asset's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Following is a description of the valuation methodologies used for assets measured at fair value. There were no changes in the valuation methodologies used at December 31, 2025 and 2024.</w:t>
      </w:r>
    </w:p>
    <w:p>
      <w:pPr>
        <w:pStyle w:val="TextBody"/>
        <w:bidi w:val="0"/>
        <w:jc w:val="left"/>
        <w:rPr>
          <w:rFonts w:ascii="Times New Roman" w:hAnsi="Times New Roman"/>
          <w:sz w:val="20"/>
        </w:rPr>
      </w:pPr>
      <w:r>
        <w:rPr>
          <w:rFonts w:ascii="Times New Roman" w:hAnsi="Times New Roman"/>
          <w:i/>
          <w:color w:val="000000"/>
          <w:sz w:val="20"/>
        </w:rPr>
        <w:t>Mutual Funds:</w:t>
      </w:r>
      <w:r>
        <w:rPr>
          <w:rFonts w:ascii="Times New Roman" w:hAnsi="Times New Roman"/>
          <w:color w:val="000000"/>
          <w:sz w:val="20"/>
        </w:rPr>
        <w:t xml:space="preserve"> Valued at the daily closing price as reported by the fund. Mutual funds held by the Plan are open-end mutual funds registered with the Securities and Exchange Commission. These funds are required to publish their daily net asset value (NAV) and to transact at that price. The mutual funds held by the Plan are actively traded.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Collective Trust:</w:t>
      </w:r>
      <w:r>
        <w:rPr>
          <w:rFonts w:ascii="Times New Roman" w:hAnsi="Times New Roman"/>
          <w:color w:val="000000"/>
          <w:sz w:val="20"/>
        </w:rPr>
        <w:t xml:space="preserve"> Valued at the NAV of units of a collective trust. NAV is a readily-determinable fair value and is the price which participants are able to transact under the terms of the Plan. Participant transactions (purchases and sales) may occur daily. If the Plan initiates a full redemption of the collective trust, the issuer reserves the right to temporarily delay withdrawal from the trust in order to ensure securities liquidations will be carried out in an orderly business manner.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Common Stock: </w:t>
      </w:r>
      <w:r>
        <w:rPr>
          <w:rFonts w:ascii="Times New Roman" w:hAnsi="Times New Roman"/>
          <w:color w:val="000000"/>
          <w:sz w:val="20"/>
        </w:rPr>
        <w:t>Valued at the closing price reported on the active market on which the individual securities are traded.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Avista Corporation Company Stock Fund:</w:t>
      </w:r>
      <w:r>
        <w:rPr>
          <w:rFonts w:ascii="Times New Roman" w:hAnsi="Times New Roman"/>
          <w:color w:val="000000"/>
          <w:sz w:val="20"/>
        </w:rPr>
        <w:t xml:space="preserve"> Includes shares of Avista Corporation and cash, and is reported based on unitized value.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Self-Directed Securities:</w:t>
      </w:r>
      <w:r>
        <w:rPr>
          <w:rFonts w:ascii="Times New Roman" w:hAnsi="Times New Roman"/>
          <w:color w:val="000000"/>
          <w:sz w:val="20"/>
        </w:rPr>
        <w:t xml:space="preserve"> Self-Directed Securities consist of mutual funds and common stocks and interest bearing cash that are valued on the basis of readily determinable market prices.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set forth by level, within the fair value hierarchy, the Plan’s assets at fair value as of December 31:</w:t>
      </w:r>
    </w:p>
    <w:p>
      <w:pPr>
        <w:pStyle w:val="TextBody"/>
        <w:bidi w:val="0"/>
        <w:jc w:val="left"/>
        <w:rPr/>
      </w:pPr>
      <w:r>
        <w:rPr/>
        <w:t> </w:t>
      </w:r>
    </w:p>
    <w:tbl>
      <w:tblPr>
        <w:tblW w:w="8300" w:type="dxa"/>
        <w:jc w:val="left"/>
        <w:tblInd w:w="0" w:type="dxa"/>
        <w:tblLayout w:type="fixed"/>
        <w:tblCellMar>
          <w:top w:w="28" w:type="dxa"/>
          <w:left w:w="28" w:type="dxa"/>
          <w:bottom w:w="28" w:type="dxa"/>
          <w:right w:w="28" w:type="dxa"/>
        </w:tblCellMar>
      </w:tblPr>
      <w:tblGrid>
        <w:gridCol w:w="2741"/>
        <w:gridCol w:w="146"/>
        <w:gridCol w:w="196"/>
        <w:gridCol w:w="1006"/>
        <w:gridCol w:w="146"/>
        <w:gridCol w:w="146"/>
        <w:gridCol w:w="196"/>
        <w:gridCol w:w="916"/>
        <w:gridCol w:w="146"/>
        <w:gridCol w:w="146"/>
        <w:gridCol w:w="228"/>
        <w:gridCol w:w="402"/>
        <w:gridCol w:w="146"/>
        <w:gridCol w:w="146"/>
        <w:gridCol w:w="196"/>
        <w:gridCol w:w="1006"/>
        <w:gridCol w:w="391"/>
      </w:tblGrid>
      <w:tr>
        <w:trPr/>
        <w:tc>
          <w:tcPr>
            <w:tcW w:w="2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Avista Corp. Company Stock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19,092,877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Self-Directed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17,395,322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17,395,322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885,418,068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885,418,068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Collective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33,352,373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33,352,373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921,906,267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33,352,373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955,258,640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Avista Corp. Company Stock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16,899,724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16,899,724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Self-Directed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14,943,677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14,943,677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765,706,391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765,706,391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Collective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37,524,876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37,524,876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797,549,792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37,524,876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835,074,668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INVESTMENTS</w:t>
      </w:r>
    </w:p>
    <w:p>
      <w:pPr>
        <w:pStyle w:val="TextBody"/>
        <w:bidi w:val="0"/>
        <w:jc w:val="left"/>
        <w:rPr>
          <w:rFonts w:ascii="Times New Roman" w:hAnsi="Times New Roman"/>
          <w:color w:val="000000"/>
          <w:sz w:val="20"/>
        </w:rPr>
      </w:pPr>
      <w:r>
        <w:rPr>
          <w:rFonts w:ascii="Times New Roman" w:hAnsi="Times New Roman"/>
          <w:color w:val="000000"/>
          <w:sz w:val="20"/>
        </w:rPr>
        <w:t>Participants of the Plan can invest in the Avista Corporation Company Stock Fund (Stock Fund). NAV is based on the fair value of the underlying Avista Corporation common stock and money market fund owned by the Stock Fund and then divided by the number of units outstanding. The Stock Fund consists of Avista Corporation common stock and Northern Trust Money Market Fund. The money market fund and common stock are valued as described in the previous paragraphs. At December 31, 2025, the Stock Fund held $40,320 of cash and 494,358 shares of the Company’s common stock with a value of $19,052,557, which is based on a price per share of $38.54. At December 31, 2024, the Stock Fund held $35,564 of cash and 460,288 shares of the Company’s common stock with a value of $16,860,349, which is based on a price per share of $36.63.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Plan investments in the Stock Fund represented 1.98% and 2.00% of total Plan assets at December 31, 2025 and 2024, respectively. For the year ended December 31, 2025, the Plan's investment in the Stock Fund experienced net appreciation in fair value of approximately $1,013,000 compared to the net appreciation of approximately $511,000 experienced in 2024.</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r>
        <w:rPr>
          <w:rFonts w:ascii="Times New Roman" w:hAnsi="Times New Roman"/>
          <w:b/>
          <w:color w:val="000000"/>
          <w:sz w:val="20"/>
        </w:rPr>
        <w:t>NOTE 5. RISKS AND UNCERTAINTIES</w:t>
      </w:r>
    </w:p>
    <w:p>
      <w:pPr>
        <w:pStyle w:val="TextBody"/>
        <w:bidi w:val="0"/>
        <w:jc w:val="left"/>
        <w:rPr>
          <w:rFonts w:ascii="Times New Roman" w:hAnsi="Times New Roman"/>
          <w:color w:val="000000"/>
          <w:sz w:val="20"/>
        </w:rPr>
      </w:pPr>
      <w:r>
        <w:rPr>
          <w:rFonts w:ascii="Times New Roman" w:hAnsi="Times New Roman"/>
          <w:color w:val="000000"/>
          <w:sz w:val="20"/>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the investment securities will occur in the near term and such changes could materially affect participants’ account balances and the amounts reported in the statements of net assets available for benefits.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PLAN TERMINATION</w:t>
      </w:r>
    </w:p>
    <w:p>
      <w:pPr>
        <w:pStyle w:val="TextBody"/>
        <w:bidi w:val="0"/>
        <w:jc w:val="left"/>
        <w:rPr>
          <w:rFonts w:ascii="Times New Roman" w:hAnsi="Times New Roman"/>
          <w:color w:val="000000"/>
          <w:sz w:val="20"/>
        </w:rPr>
      </w:pPr>
      <w:r>
        <w:rPr>
          <w:rFonts w:ascii="Times New Roman" w:hAnsi="Times New Roman"/>
          <w:color w:val="000000"/>
          <w:sz w:val="20"/>
        </w:rPr>
        <w:t>Although it has not expressed any intent to do so, the Company has the right under the Plan to discontinue contributions at any time and to terminate the Plan subject to the provisions of ERISA. In the event of Plan termination, the participants would become 100% vested in their Company contributions.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PLAN TAX STATUS</w:t>
      </w:r>
    </w:p>
    <w:p>
      <w:pPr>
        <w:pStyle w:val="TextBody"/>
        <w:bidi w:val="0"/>
        <w:jc w:val="left"/>
        <w:rPr>
          <w:rFonts w:ascii="Times New Roman" w:hAnsi="Times New Roman"/>
          <w:color w:val="000000"/>
          <w:sz w:val="20"/>
        </w:rPr>
      </w:pPr>
      <w:r>
        <w:rPr>
          <w:rFonts w:ascii="Times New Roman" w:hAnsi="Times New Roman"/>
          <w:color w:val="000000"/>
          <w:sz w:val="20"/>
        </w:rPr>
        <w:t>The Plan relies on an opinion letter dated May 12, 2017, received from the IRS indicating the Plan is qualified under Section 401 of the IRC and is therefore not subject to tax under current income tax law. Although the Plan has been amended and restated since the date of the opinion letter, the Plan administrator believes the Plan is designed and is currently being operated in compliance with the applicable requirements of the IRC.</w:t>
      </w:r>
    </w:p>
    <w:p>
      <w:pPr>
        <w:pStyle w:val="TextBody"/>
        <w:bidi w:val="0"/>
        <w:jc w:val="left"/>
        <w:rPr>
          <w:rFonts w:ascii="Times New Roman" w:hAnsi="Times New Roman"/>
          <w:color w:val="000000"/>
          <w:sz w:val="20"/>
        </w:rPr>
      </w:pPr>
      <w:r>
        <w:rPr>
          <w:rFonts w:ascii="Times New Roman" w:hAnsi="Times New Roman"/>
          <w:color w:val="000000"/>
          <w:sz w:val="20"/>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concluded that as of December 31, 2025, there are no uncertain positions taken or expected to be taken that would require recognition of a liability (or asset) or disclosure in the financial statements. The Plan is subject to audits by taxing jurisdictions; however, there are currently no audits for any tax periods in progress.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PARTY-IN-INTEREST TRANSACTIONS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Plan investments are managed by Vanguard Fiduciary Trust Company (Vanguard). Vanguard is the Trustee as defined by the Plan, and therefore, the investment transactions qualify as party-in-interest transactions. SageView is the investment advisor for the Plan, and fees paid for investment advisory services qualify as party-in-interest transactions. Dividends received from Avista Corporation common stock totaled $941,542 and $933,889 for the years ended December 31, 2025 and 2024, respectively, and qualify as party-in-interest transactions. These party-in-interest transactions are exempt from the prohibited transaction rules of ERISA. Fees incurred by the Plan for investment management services and investment advisory services are included in administrative expenses. Certain other expenses of the Plan for recordkeeping, legal and accounting fees are included in administrative expenses. Expenses paid by the Company are not included in the statements of changes in net assets available for benefits.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9" w:name="schedule_h__line_4i_schedule_of_assets"/>
      <w:bookmarkEnd w:id="9"/>
      <w:r>
        <w:rPr>
          <w:rFonts w:ascii="Times New Roman" w:hAnsi="Times New Roman"/>
          <w:b/>
          <w:color w:val="000000"/>
          <w:sz w:val="20"/>
        </w:rPr>
        <w:t>THE INVESTMENT AND EMPLOYEE STOCK OWNERSHIP PLAN</w:t>
      </w:r>
    </w:p>
    <w:p>
      <w:pPr>
        <w:pStyle w:val="TextBody"/>
        <w:bidi w:val="0"/>
        <w:jc w:val="center"/>
        <w:rPr>
          <w:rFonts w:ascii="Times New Roman" w:hAnsi="Times New Roman"/>
          <w:b/>
          <w:color w:val="000000"/>
          <w:sz w:val="20"/>
        </w:rPr>
      </w:pPr>
      <w:r>
        <w:rPr>
          <w:rFonts w:ascii="Times New Roman" w:hAnsi="Times New Roman"/>
          <w:b/>
          <w:color w:val="000000"/>
          <w:sz w:val="20"/>
        </w:rPr>
        <w:t>OF AVISTA CORPORATION</w:t>
      </w:r>
    </w:p>
    <w:p>
      <w:pPr>
        <w:pStyle w:val="TextBody"/>
        <w:bidi w:val="0"/>
        <w:jc w:val="center"/>
        <w:rPr>
          <w:rFonts w:ascii="Times New Roman" w:hAnsi="Times New Roman"/>
          <w:sz w:val="20"/>
        </w:rPr>
      </w:pPr>
      <w:r>
        <w:rPr>
          <w:rFonts w:ascii="Times New Roman" w:hAnsi="Times New Roman"/>
          <w:b/>
          <w:color w:val="000000"/>
          <w:sz w:val="20"/>
        </w:rPr>
        <w:t>E.I.N. 91-0462470</w:t>
      </w:r>
      <w:r>
        <w:rPr>
          <w:rFonts w:ascii="Times New Roman" w:hAnsi="Times New Roman"/>
          <w:color w:val="000000"/>
          <w:sz w:val="20"/>
        </w:rPr>
        <w:t xml:space="preserve"> </w:t>
      </w:r>
      <w:r>
        <w:rPr>
          <w:rFonts w:ascii="Times New Roman" w:hAnsi="Times New Roman"/>
          <w:b/>
          <w:color w:val="000000"/>
          <w:sz w:val="20"/>
        </w:rPr>
        <w:t>PLAN NO. 003</w:t>
      </w:r>
    </w:p>
    <w:p>
      <w:pPr>
        <w:pStyle w:val="TextBody"/>
        <w:bidi w:val="0"/>
        <w:jc w:val="center"/>
        <w:rPr>
          <w:rFonts w:ascii="Times New Roman" w:hAnsi="Times New Roman"/>
          <w:b/>
          <w:color w:val="000000"/>
          <w:sz w:val="20"/>
        </w:rPr>
      </w:pPr>
      <w:r>
        <w:rPr>
          <w:rFonts w:ascii="Times New Roman" w:hAnsi="Times New Roman"/>
          <w:b/>
          <w:color w:val="000000"/>
          <w:sz w:val="20"/>
        </w:rPr>
        <w:t>SCHEDULE H, LINE 4i -- SCHEDULE OF ASSETS (HELD AT END OF YEAR)</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jc w:val="center"/>
        <w:rPr/>
      </w:pPr>
      <w:r>
        <w:rPr/>
        <w:t> </w:t>
      </w:r>
    </w:p>
    <w:tbl>
      <w:tblPr>
        <w:tblW w:w="9491" w:type="dxa"/>
        <w:jc w:val="left"/>
        <w:tblInd w:w="0" w:type="dxa"/>
        <w:tblLayout w:type="fixed"/>
        <w:tblCellMar>
          <w:top w:w="28" w:type="dxa"/>
          <w:left w:w="28" w:type="dxa"/>
          <w:bottom w:w="28" w:type="dxa"/>
          <w:right w:w="28" w:type="dxa"/>
        </w:tblCellMar>
      </w:tblPr>
      <w:tblGrid>
        <w:gridCol w:w="346"/>
        <w:gridCol w:w="146"/>
        <w:gridCol w:w="3616"/>
        <w:gridCol w:w="246"/>
        <w:gridCol w:w="2516"/>
        <w:gridCol w:w="246"/>
        <w:gridCol w:w="205"/>
        <w:gridCol w:w="485"/>
        <w:gridCol w:w="146"/>
        <w:gridCol w:w="146"/>
        <w:gridCol w:w="196"/>
        <w:gridCol w:w="1006"/>
        <w:gridCol w:w="191"/>
      </w:tblGrid>
      <w:tr>
        <w:trPr/>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Identity of Issue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Investment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Avista Corporation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Company Stock Fund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19,092,877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Self-Directed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Self-Directed Brokerage Fund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Self-Directed Brokerage Fund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17,395,322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Mutual Funds: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Baird Core Plus Bond Fund Instl Class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14,139,290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MFS Growth Fund Class R6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44,634,607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 Rowe Price Inst'l Large Cap Value Fd 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19,010,651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 Rowe Price QM US Sm-Cap Grwth Eqty Fd I</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4,896,185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Transamerica International Equity R6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6,922,085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Federal Money Market Fund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15,642,885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Infla-Prot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7,443,506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Institutional Index Fund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200,479,375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2020 Trust II</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4,708,971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2025 Trust II</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10,547,111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2030 Trust II</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15,707,910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2035 Trust II</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12,369,732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2040 Trust II</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15,477,161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2045 Trust II</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22,906,814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2050 Trust II</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29,462,450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2055 Trust II</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24,697,621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2060 Trust II</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16,911,710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2065 Trust II</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3,854,155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2070 Trust II</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Income Trust II</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4,670,173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Target Ret Income &amp; Growth Trust II</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296,440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Intl Growth Fund Admiral Shares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8,155,840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Mid-Cap Index Fund Instl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46,390,131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Sm-Cap Growth Index</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29,306,757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Sm-Cap Value Index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14,328,793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Total Bd Mkt Indx Inv</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64,838,493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Total Int'l Stock Idx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82,961,262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Wellington Fund Admiral Shares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161,768,149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Victory Sycamore Sm Co Opportunity Fd R6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Registered Investment Company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2,026,809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Mutual Funds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885,418,068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Collective Trust: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Vanguard Retirement Savings Trust III</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Collective Trust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33,352,373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Participant Loans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Rates 4.25% - 9.5%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Loan Fund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8,209,697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963,468,337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0"/>
        <w:jc w:val="left"/>
        <w:rPr>
          <w:rFonts w:ascii="Times New Roman" w:hAnsi="Times New Roman"/>
          <w:color w:val="000000"/>
          <w:sz w:val="20"/>
        </w:rPr>
      </w:pPr>
      <w:r>
        <w:rPr>
          <w:rFonts w:ascii="Times New Roman" w:hAnsi="Times New Roman"/>
          <w:color w:val="000000"/>
          <w:sz w:val="20"/>
        </w:rPr>
        <w:t>* Designates party-in-interest.</w:t>
      </w:r>
    </w:p>
    <w:p>
      <w:pPr>
        <w:pStyle w:val="TextBody"/>
        <w:bidi w:val="0"/>
        <w:jc w:val="left"/>
        <w:rPr>
          <w:rFonts w:ascii="Times New Roman" w:hAnsi="Times New Roman"/>
          <w:color w:val="000000"/>
          <w:sz w:val="20"/>
        </w:rPr>
      </w:pPr>
      <w:r>
        <w:rPr>
          <w:rFonts w:ascii="Times New Roman" w:hAnsi="Times New Roman"/>
          <w:color w:val="000000"/>
          <w:sz w:val="20"/>
        </w:rPr>
        <w:t>** Cost omitted for participant-directed investments.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0" w:name="exhibit_index"/>
      <w:bookmarkEnd w:id="10"/>
      <w:r>
        <w:rPr>
          <w:rFonts w:ascii="Times New Roman" w:hAnsi="Times New Roman"/>
          <w:b/>
          <w:color w:val="000000"/>
          <w:sz w:val="20"/>
        </w:rPr>
        <w:t>EXHIBIT INDEX</w:t>
      </w:r>
    </w:p>
    <w:p>
      <w:pPr>
        <w:pStyle w:val="TextBody"/>
        <w:bidi w:val="0"/>
        <w:spacing w:before="0" w:after="140"/>
        <w:jc w:val="left"/>
        <w:rPr/>
      </w:pPr>
      <w:r>
        <w:rPr/>
        <w:t> </w:t>
      </w:r>
    </w:p>
    <w:tbl>
      <w:tblPr>
        <w:tblW w:w="6152" w:type="dxa"/>
        <w:jc w:val="left"/>
        <w:tblInd w:w="0" w:type="dxa"/>
        <w:tblLayout w:type="fixed"/>
        <w:tblCellMar>
          <w:top w:w="28" w:type="dxa"/>
          <w:left w:w="28" w:type="dxa"/>
          <w:bottom w:w="28" w:type="dxa"/>
          <w:right w:w="28" w:type="dxa"/>
        </w:tblCellMar>
      </w:tblPr>
      <w:tblGrid>
        <w:gridCol w:w="1141"/>
        <w:gridCol w:w="5011"/>
      </w:tblGrid>
      <w:tr>
        <w:trPr/>
        <w:tc>
          <w:tcPr>
            <w:tcW w:w="114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40" w:after="40"/>
              <w:jc w:val="left"/>
              <w:rPr/>
            </w:pPr>
            <w:hyperlink w:anchor="ava-ex23_1.htm">
              <w:r>
                <w:rPr>
                  <w:rStyle w:val="InternetLink"/>
                  <w:rFonts w:ascii="Times New Roman" w:hAnsi="Times New Roman"/>
                  <w:color w:val="0000FF"/>
                  <w:sz w:val="20"/>
                  <w:u w:val="single"/>
                </w:rPr>
                <w:t>Exhibit 23.1</w:t>
              </w:r>
            </w:hyperlink>
          </w:p>
        </w:tc>
        <w:tc>
          <w:tcPr>
            <w:tcW w:w="5011" w:type="dxa"/>
            <w:tcBorders/>
            <w:tcMar>
              <w:top w:w="0" w:type="dxa"/>
              <w:left w:w="0" w:type="dxa"/>
              <w:bottom w:w="0" w:type="dxa"/>
              <w:right w:w="0" w:type="dxa"/>
            </w:tcMar>
            <w:vAlign w:val="center"/>
          </w:tcPr>
          <w:p>
            <w:pPr>
              <w:pStyle w:val="TableContents"/>
              <w:bidi w:val="0"/>
              <w:spacing w:before="40" w:after="40"/>
              <w:jc w:val="left"/>
              <w:rPr/>
            </w:pPr>
            <w:hyperlink w:anchor="ava-ex23_1.htm">
              <w:r>
                <w:rPr>
                  <w:rStyle w:val="InternetLink"/>
                  <w:rFonts w:ascii="Times New Roman" w:hAnsi="Times New Roman"/>
                  <w:color w:val="0000FF"/>
                  <w:sz w:val="20"/>
                  <w:u w:val="single"/>
                </w:rPr>
                <w:t>Consent of Independent Registered Public Accounting Firm</w:t>
              </w:r>
            </w:hyperlink>
          </w:p>
        </w:tc>
      </w:tr>
    </w:tbl>
    <w:p>
      <w:pPr>
        <w:pStyle w:val="TextBody"/>
        <w:bidi w:val="0"/>
        <w:spacing w:before="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11" w:name="signatures"/>
      <w:bookmarkEnd w:id="1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before="0" w:after="140"/>
        <w:jc w:val="left"/>
        <w:rPr/>
      </w:pPr>
      <w:r>
        <w:rPr/>
        <w:t> </w:t>
      </w:r>
    </w:p>
    <w:tbl>
      <w:tblPr>
        <w:tblW w:w="8144" w:type="dxa"/>
        <w:jc w:val="left"/>
        <w:tblInd w:w="0" w:type="dxa"/>
        <w:tblLayout w:type="fixed"/>
        <w:tblCellMar>
          <w:top w:w="28" w:type="dxa"/>
          <w:left w:w="28" w:type="dxa"/>
          <w:bottom w:w="28" w:type="dxa"/>
          <w:right w:w="28" w:type="dxa"/>
        </w:tblCellMar>
      </w:tblPr>
      <w:tblGrid>
        <w:gridCol w:w="167"/>
        <w:gridCol w:w="657"/>
        <w:gridCol w:w="7320"/>
      </w:tblGrid>
      <w:tr>
        <w:trPr/>
        <w:tc>
          <w:tcPr>
            <w:tcW w:w="16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7320" w:type="dxa"/>
            <w:tcBorders/>
            <w:vAlign w:val="center"/>
          </w:tcPr>
          <w:p>
            <w:pPr>
              <w:pStyle w:val="TableContents"/>
              <w:bidi w:val="0"/>
              <w:spacing w:before="0" w:after="283"/>
              <w:jc w:val="left"/>
              <w:rPr>
                <w:sz w:val="4"/>
                <w:szCs w:val="4"/>
              </w:rPr>
            </w:pPr>
            <w:r>
              <w:rPr>
                <w:sz w:val="4"/>
                <w:szCs w:val="4"/>
              </w:rPr>
            </w:r>
          </w:p>
        </w:tc>
      </w:tr>
      <w:tr>
        <w:trPr/>
        <w:tc>
          <w:tcPr>
            <w:tcW w:w="8144" w:type="dxa"/>
            <w:gridSpan w:val="3"/>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THE INVESTMENT AND EMPLOYEE STOCK OWNERSHIP PLAN OF AVISTA CORPORATION</w:t>
            </w:r>
          </w:p>
        </w:tc>
      </w:tr>
      <w:tr>
        <w:trPr/>
        <w:tc>
          <w:tcPr>
            <w:tcW w:w="167" w:type="dxa"/>
            <w:tcBorders/>
            <w:tcMar>
              <w:top w:w="0" w:type="dxa"/>
              <w:left w:w="0" w:type="dxa"/>
              <w:bottom w:w="0" w:type="dxa"/>
              <w:right w:w="0" w:type="dxa"/>
            </w:tcMar>
            <w:vAlign w:val="center"/>
          </w:tcPr>
          <w:p>
            <w:pPr>
              <w:pStyle w:val="TableContents"/>
              <w:bidi w:val="0"/>
              <w:spacing w:before="40" w:after="40"/>
              <w:jc w:val="left"/>
              <w:rPr/>
            </w:pPr>
            <w:r>
              <w:rPr/>
              <w:t> </w:t>
            </w:r>
          </w:p>
        </w:tc>
        <w:tc>
          <w:tcPr>
            <w:tcW w:w="7977" w:type="dxa"/>
            <w:gridSpan w:val="2"/>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7" w:type="dxa"/>
            <w:tcBorders/>
            <w:tcMar>
              <w:top w:w="0" w:type="dxa"/>
              <w:left w:w="0" w:type="dxa"/>
              <w:bottom w:w="0" w:type="dxa"/>
              <w:right w:w="0" w:type="dxa"/>
            </w:tcMar>
            <w:vAlign w:val="center"/>
          </w:tcPr>
          <w:p>
            <w:pPr>
              <w:pStyle w:val="TableContents"/>
              <w:bidi w:val="0"/>
              <w:spacing w:before="40" w:after="40"/>
              <w:jc w:val="left"/>
              <w:rPr/>
            </w:pPr>
            <w:r>
              <w:rPr/>
              <w:t> </w:t>
            </w:r>
          </w:p>
        </w:tc>
        <w:tc>
          <w:tcPr>
            <w:tcW w:w="657"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By:</w:t>
            </w:r>
          </w:p>
        </w:tc>
        <w:tc>
          <w:tcPr>
            <w:tcW w:w="7320"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Kevin Christie</w:t>
            </w:r>
          </w:p>
        </w:tc>
      </w:tr>
      <w:tr>
        <w:trPr/>
        <w:tc>
          <w:tcPr>
            <w:tcW w:w="167" w:type="dxa"/>
            <w:tcBorders/>
            <w:tcMar>
              <w:top w:w="0" w:type="dxa"/>
              <w:left w:w="0" w:type="dxa"/>
              <w:bottom w:w="0" w:type="dxa"/>
              <w:right w:w="0" w:type="dxa"/>
            </w:tcMar>
            <w:vAlign w:val="center"/>
          </w:tcPr>
          <w:p>
            <w:pPr>
              <w:pStyle w:val="TableContents"/>
              <w:bidi w:val="0"/>
              <w:spacing w:before="40" w:after="40"/>
              <w:jc w:val="left"/>
              <w:rPr/>
            </w:pPr>
            <w:r>
              <w:rPr/>
              <w:t> </w:t>
            </w:r>
          </w:p>
        </w:tc>
        <w:tc>
          <w:tcPr>
            <w:tcW w:w="657"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Name:</w:t>
            </w:r>
          </w:p>
        </w:tc>
        <w:tc>
          <w:tcPr>
            <w:tcW w:w="732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Kevin Christie</w:t>
            </w:r>
          </w:p>
        </w:tc>
      </w:tr>
      <w:tr>
        <w:trPr/>
        <w:tc>
          <w:tcPr>
            <w:tcW w:w="167" w:type="dxa"/>
            <w:tcBorders/>
            <w:tcMar>
              <w:top w:w="0" w:type="dxa"/>
              <w:left w:w="0" w:type="dxa"/>
              <w:bottom w:w="0" w:type="dxa"/>
              <w:right w:w="0" w:type="dxa"/>
            </w:tcMar>
            <w:vAlign w:val="center"/>
          </w:tcPr>
          <w:p>
            <w:pPr>
              <w:pStyle w:val="TableContents"/>
              <w:bidi w:val="0"/>
              <w:spacing w:before="40" w:after="40"/>
              <w:jc w:val="left"/>
              <w:rPr/>
            </w:pPr>
            <w:r>
              <w:rPr/>
              <w:t> </w:t>
            </w:r>
          </w:p>
        </w:tc>
        <w:tc>
          <w:tcPr>
            <w:tcW w:w="657"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Title:</w:t>
            </w:r>
          </w:p>
        </w:tc>
        <w:tc>
          <w:tcPr>
            <w:tcW w:w="732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Senior Vice President, Chief Financial Officer, Treasurer &amp; Regulatory Affairs Officer</w:t>
            </w:r>
          </w:p>
        </w:tc>
      </w:tr>
      <w:tr>
        <w:trPr/>
        <w:tc>
          <w:tcPr>
            <w:tcW w:w="167" w:type="dxa"/>
            <w:tcBorders/>
            <w:tcMar>
              <w:top w:w="0" w:type="dxa"/>
              <w:left w:w="0" w:type="dxa"/>
              <w:bottom w:w="0" w:type="dxa"/>
              <w:right w:w="0" w:type="dxa"/>
            </w:tcMar>
            <w:vAlign w:val="center"/>
          </w:tcPr>
          <w:p>
            <w:pPr>
              <w:pStyle w:val="TableContents"/>
              <w:bidi w:val="0"/>
              <w:spacing w:before="40" w:after="40"/>
              <w:jc w:val="left"/>
              <w:rPr/>
            </w:pPr>
            <w:r>
              <w:rPr/>
              <w:t> </w:t>
            </w:r>
          </w:p>
        </w:tc>
        <w:tc>
          <w:tcPr>
            <w:tcW w:w="657"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 xml:space="preserve">Date: </w:t>
            </w:r>
          </w:p>
        </w:tc>
        <w:tc>
          <w:tcPr>
            <w:tcW w:w="7320"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June 25, 2026</w:t>
            </w:r>
          </w:p>
        </w:tc>
      </w:tr>
    </w:tbl>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2" w:name="ava-ex23_1.htm"/>
      <w:bookmarkStart w:id="13" w:name="ksavaex23_1"/>
      <w:bookmarkEnd w:id="12"/>
      <w:bookmarkEnd w:id="13"/>
      <w:r>
        <w:rPr>
          <w:rFonts w:ascii="Times New Roman" w:hAnsi="Times New Roman"/>
          <w:b/>
          <w:color w:val="000000"/>
          <w:sz w:val="22"/>
        </w:rPr>
        <w:t>Exhibit 23.1</w:t>
      </w:r>
      <w:r>
        <w:br w:type="page"/>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left"/>
        <w:rPr>
          <w:rFonts w:ascii="Times New Roman" w:hAnsi="Times New Roman"/>
          <w:color w:val="000000"/>
          <w:sz w:val="22"/>
        </w:rPr>
      </w:pPr>
      <w:r>
        <w:rPr>
          <w:rFonts w:ascii="Times New Roman" w:hAnsi="Times New Roman"/>
          <w:color w:val="000000"/>
          <w:sz w:val="22"/>
        </w:rPr>
        <w:t>We consent to the incorporation by reference in the Registration Statement No. 333-33790 on Form S-8 of Avista Corporation of our report dated June 25, 2026, relating to the financial statements and supplemental information of The Investment and Employee Stock Ownership Plan of Avista Corporation (the “Plan”) appearing in this Annual Report on Form 11-K for the year ended December 31, 2025.</w:t>
      </w:r>
    </w:p>
    <w:p>
      <w:pPr>
        <w:pStyle w:val="TextBody"/>
        <w:bidi w:val="0"/>
        <w:jc w:val="left"/>
        <w:rPr>
          <w:rFonts w:ascii="Times New Roman" w:hAnsi="Times New Roman"/>
          <w:b/>
          <w:color w:val="000000"/>
          <w:sz w:val="22"/>
        </w:rPr>
      </w:pPr>
      <w:r>
        <w:rPr>
          <w:rFonts w:ascii="Times New Roman" w:hAnsi="Times New Roman"/>
          <w:b/>
          <w:color w:val="000000"/>
          <w:sz w:val="22"/>
        </w:rPr>
        <w:t>/s/ Baker Tilly US, LLP</w:t>
      </w:r>
    </w:p>
    <w:p>
      <w:pPr>
        <w:pStyle w:val="TextBody"/>
        <w:bidi w:val="0"/>
        <w:jc w:val="left"/>
        <w:rPr>
          <w:rFonts w:ascii="Times New Roman" w:hAnsi="Times New Roman"/>
          <w:sz w:val="20"/>
        </w:rPr>
      </w:pPr>
      <w:r>
        <w:rPr>
          <w:rFonts w:ascii="Times New Roman" w:hAnsi="Times New Roman"/>
          <w:color w:val="000000"/>
          <w:sz w:val="22"/>
        </w:rPr>
        <w:t>Spokane, Washington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June 25,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4942</Words>
  <Characters>27637</Characters>
  <CharactersWithSpaces>32975</CharactersWithSpaces>
  <Paragraphs>1421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